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w:t>
      </w:r>
      <w:r>
        <w:rPr>
          <w:rFonts w:ascii="Times New Roman" w:cs="Times New Roman" w:eastAsia="Times New Roman" w:hAnsi="Times New Roman"/>
          <w:sz w:val="12"/>
          <w:szCs w:val="12"/>
          <w:b w:val="1"/>
          <w:bCs w:val="1"/>
          <w:i w:val="1"/>
          <w:iCs w:val="1"/>
          <w:color w:val="auto"/>
        </w:rPr>
        <w:t>phere</w:t>
      </w:r>
      <w:r>
        <w:rPr>
          <w:rFonts w:ascii="Times New Roman" w:cs="Times New Roman" w:eastAsia="Times New Roman" w:hAnsi="Times New Roman"/>
          <w:sz w:val="18"/>
          <w:szCs w:val="18"/>
          <w:b w:val="1"/>
          <w:bCs w:val="1"/>
          <w:i w:val="1"/>
          <w:iCs w:val="1"/>
          <w:color w:val="auto"/>
        </w:rPr>
        <w:t xml:space="preserve"> 3D C</w:t>
      </w:r>
      <w:r>
        <w:rPr>
          <w:rFonts w:ascii="Times New Roman" w:cs="Times New Roman" w:eastAsia="Times New Roman" w:hAnsi="Times New Roman"/>
          <w:sz w:val="12"/>
          <w:szCs w:val="12"/>
          <w:b w:val="1"/>
          <w:bCs w:val="1"/>
          <w:i w:val="1"/>
          <w:iCs w:val="1"/>
          <w:color w:val="auto"/>
        </w:rPr>
        <w:t>orp</w:t>
      </w:r>
      <w:r>
        <w:rPr>
          <w:rFonts w:ascii="Times New Roman" w:cs="Times New Roman" w:eastAsia="Times New Roman" w:hAnsi="Times New Roman"/>
          <w:sz w:val="18"/>
          <w:szCs w:val="18"/>
          <w:b w:val="1"/>
          <w:bCs w:val="1"/>
          <w:i w:val="1"/>
          <w:iCs w:val="1"/>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895 Don Mills Road, Bldg. 2, Suite 900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Toronto, Ontario, Canada, M3C 1W3</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10,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Lulu Cheng</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Eric Envall</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tbl>
      <w:tblPr>
        <w:tblLayout w:type="fixed"/>
        <w:tblInd w:w="980" w:type="dxa"/>
        <w:tblCellMar>
          <w:top w:w="0" w:type="dxa"/>
          <w:left w:w="0" w:type="dxa"/>
          <w:bottom w:w="0" w:type="dxa"/>
          <w:right w:w="0" w:type="dxa"/>
        </w:tblCellMar>
      </w:tblP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w:t>
            </w: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Sphere 3D Corp.</w:t>
            </w:r>
          </w:p>
        </w:tc>
      </w:tr>
      <w:tr>
        <w:trPr>
          <w:trHeight w:val="216"/>
        </w:trPr>
        <w:tc>
          <w:tcPr>
            <w:tcW w:w="64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Registration Statement on Form S-3</w:t>
            </w:r>
          </w:p>
        </w:tc>
      </w:tr>
      <w:tr>
        <w:trPr>
          <w:trHeight w:val="245"/>
        </w:trPr>
        <w:tc>
          <w:tcPr>
            <w:tcW w:w="640" w:type="dxa"/>
            <w:vAlign w:val="bottom"/>
          </w:tcPr>
          <w:p>
            <w:pPr>
              <w:spacing w:after="0"/>
              <w:rPr>
                <w:sz w:val="21"/>
                <w:szCs w:val="21"/>
                <w:color w:val="auto"/>
              </w:rPr>
            </w:pP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File No. 333-269663</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461 of the General Rules and Regulations under the Securities Act of 1933, as amended, Sphere 3D Corp. (the “Company”) hereby requests that the above-captioned registration statement (the “Registration Statement”) be declared effective at 4:00 p.m., Eastern Time, on Tuesday, October 15, 2024, or as soon thereafter as may be practicable.</w:t>
      </w:r>
    </w:p>
    <w:p>
      <w:pPr>
        <w:spacing w:after="0" w:line="176" w:lineRule="exact"/>
        <w:rPr>
          <w:sz w:val="24"/>
          <w:szCs w:val="24"/>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acknowledges that a declaration by the Commission or the staff, acting pursuant to delegated authority, that the Registration Statement is effective does not foreclose the Commission from taking any action with respect to the Registration Statement. The Company further acknowledges that such a declaration of effectiveness does not relieve the Company from its full responsibility for the adequacy and accuracy of the disclosure in the Registration Statement. The Company understands that it may not assert staff comments to the Registration Statement or the declaration of effectiveness by the Commission as a defense in any proceeding initiated by the Commission or any person under the federal securities laws of the United States.</w:t>
      </w:r>
    </w:p>
    <w:p>
      <w:pPr>
        <w:spacing w:after="0" w:line="187"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Should you have any questions regarding this matter or need any additional information, please contact the Company’s legal counsel, M. Ali Panjwani, Esq. of Pryor Cashman LLP, at (212) 326-0820.</w:t>
      </w:r>
    </w:p>
    <w:p>
      <w:pPr>
        <w:spacing w:after="0" w:line="162"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 Patricia Trompeter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26035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4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M. Ali Panjwani, Esq.</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2024-11-13T23:11:27Z</dcterms:created>
  <dcterms:modified xsi:type="dcterms:W3CDTF">2024-11-13T23:11:27Z</dcterms:modified>
</cp:coreProperties>
</file>