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orm8k.htm"/>
      <w:bookmarkStart w:id="1" w:name="ksform8k"/>
      <w:bookmarkStart w:id="2" w:name="form8k.htm"/>
      <w:bookmarkStart w:id="3" w:name="ksform8k"/>
      <w:bookmarkEnd w:id="2"/>
      <w:bookmarkEnd w:id="3"/>
    </w:p>
    <w:p>
      <w:pPr>
        <w:pStyle w:val="TextBody"/>
        <w:bidi w:val="0"/>
        <w:spacing w:before="200" w:after="200"/>
        <w:jc w:val="center"/>
        <w:rPr>
          <w:rFonts w:ascii="Times New Roman" w:hAnsi="Times New Roman"/>
          <w:sz w:val="20"/>
        </w:rPr>
      </w:pPr>
      <w:bookmarkStart w:id="4" w:name="page_1"/>
      <w:bookmarkEnd w:id="4"/>
      <w:r>
        <w:rPr>
          <w:rFonts w:ascii="Times New Roman" w:hAnsi="Times New Roman"/>
          <w:b/>
          <w:sz w:val="50"/>
        </w:rPr>
        <w:t>UNITED STATES</w:t>
      </w:r>
      <w:r>
        <w:rPr>
          <w:rFonts w:ascii="Times New Roman" w:hAnsi="Times New Roman"/>
          <w:sz w:val="20"/>
        </w:rPr>
        <w:br/>
      </w:r>
      <w:r>
        <w:rPr>
          <w:rFonts w:ascii="Times New Roman" w:hAnsi="Times New Roman"/>
          <w:b/>
          <w:sz w:val="50"/>
        </w:rPr>
        <w:t>SECURITIES AND EXCHANGE COMMISSION</w:t>
      </w:r>
      <w:r>
        <w:rPr>
          <w:rFonts w:ascii="Times New Roman" w:hAnsi="Times New Roman"/>
          <w:sz w:val="20"/>
        </w:rPr>
        <w:br/>
        <w:t>Washington, D.C. 20549</w:t>
        <w:br/>
      </w:r>
      <w:r>
        <w:rPr>
          <w:rFonts w:ascii="Times New Roman" w:hAnsi="Times New Roman"/>
          <w:b/>
          <w:sz w:val="20"/>
        </w:rPr>
        <w:t>___________________________</w:t>
      </w:r>
    </w:p>
    <w:p>
      <w:pPr>
        <w:pStyle w:val="TextBody"/>
        <w:bidi w:val="0"/>
        <w:spacing w:before="200" w:after="200"/>
        <w:jc w:val="center"/>
        <w:rPr>
          <w:rFonts w:ascii="Times New Roman" w:hAnsi="Times New Roman"/>
          <w:b/>
          <w:sz w:val="50"/>
        </w:rPr>
      </w:pPr>
      <w:r>
        <w:rPr>
          <w:rFonts w:ascii="Times New Roman" w:hAnsi="Times New Roman"/>
          <w:b/>
          <w:sz w:val="50"/>
        </w:rPr>
        <w:t>FORM 8-K</w:t>
      </w:r>
    </w:p>
    <w:p>
      <w:pPr>
        <w:pStyle w:val="TextBody"/>
        <w:bidi w:val="0"/>
        <w:spacing w:before="200" w:after="200"/>
        <w:jc w:val="center"/>
        <w:rPr>
          <w:rFonts w:ascii="Times New Roman" w:hAnsi="Times New Roman"/>
          <w:sz w:val="20"/>
        </w:rPr>
      </w:pPr>
      <w:r>
        <w:rPr>
          <w:rFonts w:ascii="Times New Roman" w:hAnsi="Times New Roman"/>
          <w:b/>
          <w:sz w:val="20"/>
        </w:rPr>
        <w:t>CURRENT REPORT</w:t>
      </w:r>
      <w:r>
        <w:rPr>
          <w:rFonts w:ascii="Times New Roman" w:hAnsi="Times New Roman"/>
          <w:sz w:val="20"/>
        </w:rPr>
        <w:br/>
      </w:r>
      <w:r>
        <w:rPr>
          <w:rFonts w:ascii="Times New Roman" w:hAnsi="Times New Roman"/>
          <w:b/>
          <w:sz w:val="20"/>
        </w:rPr>
        <w:t>Pursuant to Section 13 or 15(d) of the Securities Exchange Act of 1934</w:t>
      </w:r>
    </w:p>
    <w:p>
      <w:pPr>
        <w:pStyle w:val="TextBody"/>
        <w:bidi w:val="0"/>
        <w:spacing w:before="200" w:after="20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u w:val="single"/>
        </w:rPr>
        <w:t xml:space="preserve">July 31, 2026 </w:t>
      </w:r>
    </w:p>
    <w:p>
      <w:pPr>
        <w:pStyle w:val="TextBody"/>
        <w:bidi w:val="0"/>
        <w:spacing w:before="200" w:after="200"/>
        <w:jc w:val="center"/>
        <w:rPr>
          <w:rFonts w:ascii="Times New Roman" w:hAnsi="Times New Roman"/>
          <w:sz w:val="20"/>
        </w:rPr>
      </w:pPr>
      <w:r>
        <w:rPr>
          <w:rFonts w:ascii="Times New Roman" w:hAnsi="Times New Roman"/>
          <w:b/>
          <w:sz w:val="50"/>
          <w:u w:val="single"/>
        </w:rPr>
        <w:t>SPHERE 3D CORP.</w:t>
      </w:r>
      <w:r>
        <w:rPr>
          <w:rFonts w:ascii="Times New Roman" w:hAnsi="Times New Roman"/>
          <w:sz w:val="20"/>
        </w:rPr>
        <w:br/>
        <w:t>(Exact name of registrant as specified in its charter)</w:t>
      </w:r>
    </w:p>
    <w:tbl>
      <w:tblPr>
        <w:tblW w:w="5838" w:type="dxa"/>
        <w:jc w:val="left"/>
        <w:tblInd w:w="0" w:type="dxa"/>
        <w:tblLayout w:type="fixed"/>
        <w:tblCellMar>
          <w:top w:w="28" w:type="dxa"/>
          <w:left w:w="28" w:type="dxa"/>
          <w:bottom w:w="28" w:type="dxa"/>
          <w:right w:w="28" w:type="dxa"/>
        </w:tblCellMar>
      </w:tblPr>
      <w:tblGrid>
        <w:gridCol w:w="2566"/>
        <w:gridCol w:w="1381"/>
        <w:gridCol w:w="1891"/>
      </w:tblGrid>
      <w:tr>
        <w:trPr/>
        <w:tc>
          <w:tcPr>
            <w:tcW w:w="2566" w:type="dxa"/>
            <w:tcBorders/>
            <w:vAlign w:val="center"/>
          </w:tcPr>
          <w:p>
            <w:pPr>
              <w:pStyle w:val="TableContents"/>
              <w:bidi w:val="0"/>
              <w:spacing w:before="0" w:after="283"/>
              <w:jc w:val="center"/>
              <w:rPr>
                <w:b/>
                <w:u w:val="single"/>
              </w:rPr>
            </w:pPr>
            <w:r>
              <w:rPr>
                <w:b/>
                <w:u w:val="single"/>
              </w:rPr>
              <w:t xml:space="preserve">Ontario </w:t>
            </w:r>
          </w:p>
        </w:tc>
        <w:tc>
          <w:tcPr>
            <w:tcW w:w="1381" w:type="dxa"/>
            <w:tcBorders/>
            <w:vAlign w:val="center"/>
          </w:tcPr>
          <w:p>
            <w:pPr>
              <w:pStyle w:val="TableContents"/>
              <w:bidi w:val="0"/>
              <w:spacing w:before="0" w:after="283"/>
              <w:jc w:val="center"/>
              <w:rPr>
                <w:b/>
                <w:u w:val="single"/>
              </w:rPr>
            </w:pPr>
            <w:r>
              <w:rPr>
                <w:b/>
                <w:u w:val="single"/>
              </w:rPr>
              <w:t xml:space="preserve">001-36532 </w:t>
            </w:r>
          </w:p>
        </w:tc>
        <w:tc>
          <w:tcPr>
            <w:tcW w:w="1891" w:type="dxa"/>
            <w:tcBorders/>
            <w:vAlign w:val="center"/>
          </w:tcPr>
          <w:p>
            <w:pPr>
              <w:pStyle w:val="TableContents"/>
              <w:bidi w:val="0"/>
              <w:spacing w:before="0" w:after="283"/>
              <w:jc w:val="center"/>
              <w:rPr>
                <w:b/>
                <w:u w:val="single"/>
              </w:rPr>
            </w:pPr>
            <w:r>
              <w:rPr>
                <w:b/>
                <w:u w:val="single"/>
              </w:rPr>
              <w:t xml:space="preserve">98-1220792 </w:t>
            </w:r>
          </w:p>
        </w:tc>
      </w:tr>
      <w:tr>
        <w:trPr/>
        <w:tc>
          <w:tcPr>
            <w:tcW w:w="2566" w:type="dxa"/>
            <w:tcBorders/>
            <w:vAlign w:val="center"/>
          </w:tcPr>
          <w:p>
            <w:pPr>
              <w:pStyle w:val="TableContents"/>
              <w:bidi w:val="0"/>
              <w:spacing w:before="0" w:after="283"/>
              <w:jc w:val="center"/>
              <w:rPr/>
            </w:pPr>
            <w:r>
              <w:rPr/>
              <w:t>(State or other jurisdiction</w:t>
            </w:r>
          </w:p>
        </w:tc>
        <w:tc>
          <w:tcPr>
            <w:tcW w:w="1381" w:type="dxa"/>
            <w:tcBorders/>
            <w:vAlign w:val="center"/>
          </w:tcPr>
          <w:p>
            <w:pPr>
              <w:pStyle w:val="TableContents"/>
              <w:bidi w:val="0"/>
              <w:spacing w:before="0" w:after="283"/>
              <w:jc w:val="center"/>
              <w:rPr/>
            </w:pPr>
            <w:r>
              <w:rPr/>
              <w:t>(Commission</w:t>
            </w:r>
          </w:p>
        </w:tc>
        <w:tc>
          <w:tcPr>
            <w:tcW w:w="1891" w:type="dxa"/>
            <w:tcBorders/>
            <w:vAlign w:val="center"/>
          </w:tcPr>
          <w:p>
            <w:pPr>
              <w:pStyle w:val="TableContents"/>
              <w:bidi w:val="0"/>
              <w:spacing w:before="0" w:after="283"/>
              <w:jc w:val="center"/>
              <w:rPr/>
            </w:pPr>
            <w:r>
              <w:rPr/>
              <w:t>(IRS Employer</w:t>
            </w:r>
          </w:p>
        </w:tc>
      </w:tr>
      <w:tr>
        <w:trPr/>
        <w:tc>
          <w:tcPr>
            <w:tcW w:w="2566" w:type="dxa"/>
            <w:tcBorders/>
            <w:vAlign w:val="center"/>
          </w:tcPr>
          <w:p>
            <w:pPr>
              <w:pStyle w:val="TableContents"/>
              <w:bidi w:val="0"/>
              <w:spacing w:before="0" w:after="283"/>
              <w:jc w:val="center"/>
              <w:rPr/>
            </w:pPr>
            <w:r>
              <w:rPr/>
              <w:t>of incorporation)</w:t>
            </w:r>
          </w:p>
        </w:tc>
        <w:tc>
          <w:tcPr>
            <w:tcW w:w="1381" w:type="dxa"/>
            <w:tcBorders/>
            <w:vAlign w:val="center"/>
          </w:tcPr>
          <w:p>
            <w:pPr>
              <w:pStyle w:val="TableContents"/>
              <w:bidi w:val="0"/>
              <w:spacing w:before="0" w:after="283"/>
              <w:jc w:val="center"/>
              <w:rPr/>
            </w:pPr>
            <w:r>
              <w:rPr/>
              <w:t>File Number)</w:t>
            </w:r>
          </w:p>
        </w:tc>
        <w:tc>
          <w:tcPr>
            <w:tcW w:w="1891" w:type="dxa"/>
            <w:tcBorders/>
            <w:vAlign w:val="center"/>
          </w:tcPr>
          <w:p>
            <w:pPr>
              <w:pStyle w:val="TableContents"/>
              <w:bidi w:val="0"/>
              <w:spacing w:before="0" w:after="283"/>
              <w:jc w:val="center"/>
              <w:rPr/>
            </w:pPr>
            <w:r>
              <w:rPr/>
              <w:t>Identification No.)</w:t>
            </w:r>
          </w:p>
        </w:tc>
      </w:tr>
    </w:tbl>
    <w:p>
      <w:pPr>
        <w:pStyle w:val="TextBody"/>
        <w:bidi w:val="0"/>
        <w:spacing w:before="200" w:after="200"/>
        <w:jc w:val="center"/>
        <w:rPr>
          <w:rFonts w:ascii="Times New Roman" w:hAnsi="Times New Roman"/>
          <w:sz w:val="20"/>
        </w:rPr>
      </w:pPr>
      <w:r>
        <w:rPr>
          <w:rFonts w:ascii="Times New Roman" w:hAnsi="Times New Roman"/>
          <w:b/>
          <w:sz w:val="20"/>
        </w:rPr>
        <w:t>243 Tresser Blvd, 17th Floor</w:t>
        <w:br/>
      </w:r>
      <w:r>
        <w:rPr>
          <w:rFonts w:ascii="Times New Roman" w:hAnsi="Times New Roman"/>
          <w:b/>
          <w:sz w:val="20"/>
          <w:u w:val="single"/>
        </w:rPr>
        <w:t>Stamford, Connecticut, United States 06901</w:t>
        <w:br/>
      </w:r>
      <w:r>
        <w:rPr>
          <w:rFonts w:ascii="Times New Roman" w:hAnsi="Times New Roman"/>
          <w:sz w:val="20"/>
        </w:rPr>
        <w:t>(Address of principal executive offices) (ZIP Code)</w:t>
      </w:r>
    </w:p>
    <w:p>
      <w:pPr>
        <w:pStyle w:val="TextBody"/>
        <w:bidi w:val="0"/>
        <w:spacing w:before="200" w:after="20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u w:val="single"/>
        </w:rPr>
        <w:t>(647) 952 5049</w:t>
      </w:r>
    </w:p>
    <w:p>
      <w:pPr>
        <w:pStyle w:val="TextBody"/>
        <w:bidi w:val="0"/>
        <w:spacing w:before="200" w:after="200"/>
        <w:jc w:val="center"/>
        <w:rPr>
          <w:rFonts w:ascii="Times New Roman" w:hAnsi="Times New Roman"/>
          <w:sz w:val="20"/>
        </w:rPr>
      </w:pPr>
      <w:r>
        <w:rPr>
          <w:rFonts w:ascii="Times New Roman" w:hAnsi="Times New Roman"/>
          <w:b/>
          <w:sz w:val="20"/>
          <w:u w:val="single"/>
        </w:rPr>
        <w:t>Not Applicable</w:t>
      </w:r>
      <w:r>
        <w:rPr>
          <w:rFonts w:ascii="Times New Roman" w:hAnsi="Times New Roman"/>
          <w:sz w:val="20"/>
        </w:rPr>
        <w:t xml:space="preserve"> </w:t>
        <w:br/>
        <w:t>(Former name or former address, if changed since last report)</w:t>
      </w:r>
    </w:p>
    <w:p>
      <w:pPr>
        <w:pStyle w:val="TextBody"/>
        <w:bidi w:val="0"/>
        <w:spacing w:before="200" w:after="20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200" w:after="200"/>
        <w:jc w:val="both"/>
        <w:rPr/>
      </w:pPr>
      <w:r>
        <w:rPr/>
        <w:t xml:space="preserve">☐ </w:t>
      </w:r>
      <w:r>
        <w:rPr>
          <w:rFonts w:ascii="Times New Roman" w:hAnsi="Times New Roman"/>
          <w:sz w:val="20"/>
        </w:rPr>
        <w:t xml:space="preserve">Written communications pursuant to Rule 425 under the Securities Act (17 CFR 230.425) </w:t>
      </w:r>
    </w:p>
    <w:p>
      <w:pPr>
        <w:pStyle w:val="TextBody"/>
        <w:bidi w:val="0"/>
        <w:spacing w:before="200" w:after="200"/>
        <w:jc w:val="both"/>
        <w:rPr/>
      </w:pPr>
      <w:r>
        <w:rPr/>
        <w:t xml:space="preserve">☐ </w:t>
      </w:r>
      <w:r>
        <w:rPr>
          <w:rFonts w:ascii="Times New Roman" w:hAnsi="Times New Roman"/>
          <w:sz w:val="20"/>
        </w:rPr>
        <w:t xml:space="preserve">Soliciting material pursuant to Rule 14a-12 under the Exchange Act (17 CFR 240.14a-12) </w:t>
      </w:r>
    </w:p>
    <w:p>
      <w:pPr>
        <w:pStyle w:val="TextBody"/>
        <w:bidi w:val="0"/>
        <w:spacing w:before="200" w:after="200"/>
        <w:jc w:val="both"/>
        <w:rPr/>
      </w:pPr>
      <w:r>
        <w:rPr/>
        <w:t xml:space="preserve">☐ </w:t>
      </w:r>
      <w:r>
        <w:rPr>
          <w:rFonts w:ascii="Times New Roman" w:hAnsi="Times New Roman"/>
          <w:sz w:val="20"/>
        </w:rPr>
        <w:t xml:space="preserve">Pre-commencement communications pursuant to Rule 14d-2(b) under the Exchange Act (17 CFR 240.14d-2(b)) </w:t>
      </w:r>
    </w:p>
    <w:p>
      <w:pPr>
        <w:pStyle w:val="TextBody"/>
        <w:bidi w:val="0"/>
        <w:spacing w:before="200" w:after="200"/>
        <w:jc w:val="both"/>
        <w:rPr/>
      </w:pPr>
      <w:r>
        <w:rPr/>
        <w:t xml:space="preserve">☐ </w:t>
      </w:r>
      <w:r>
        <w:rPr>
          <w:rFonts w:ascii="Times New Roman" w:hAnsi="Times New Roman"/>
          <w:sz w:val="20"/>
        </w:rPr>
        <w:t xml:space="preserve">Pre-commencement communications pursuant to Rule 13e-4(c) under the Exchange Act (17 CFR 240.13e-4(c)) </w:t>
      </w:r>
    </w:p>
    <w:p>
      <w:pPr>
        <w:pStyle w:val="TextBody"/>
        <w:bidi w:val="0"/>
        <w:spacing w:before="200" w:after="200"/>
        <w:jc w:val="left"/>
        <w:rPr>
          <w:rFonts w:ascii="Times New Roman" w:hAnsi="Times New Roman"/>
          <w:sz w:val="20"/>
        </w:rPr>
      </w:pPr>
      <w:r>
        <w:rPr>
          <w:rFonts w:ascii="Times New Roman" w:hAnsi="Times New Roman"/>
          <w:sz w:val="20"/>
        </w:rPr>
        <w:t>Securities registered pursuant to Section 12(b) of the Act:</w:t>
      </w:r>
    </w:p>
    <w:tbl>
      <w:tblPr>
        <w:tblW w:w="8635" w:type="dxa"/>
        <w:jc w:val="left"/>
        <w:tblInd w:w="0" w:type="dxa"/>
        <w:tblLayout w:type="fixed"/>
        <w:tblCellMar>
          <w:top w:w="0" w:type="dxa"/>
          <w:left w:w="0" w:type="dxa"/>
          <w:bottom w:w="28" w:type="dxa"/>
          <w:right w:w="0" w:type="dxa"/>
        </w:tblCellMar>
      </w:tblPr>
      <w:tblGrid>
        <w:gridCol w:w="1891"/>
        <w:gridCol w:w="146"/>
        <w:gridCol w:w="1861"/>
        <w:gridCol w:w="146"/>
        <w:gridCol w:w="4591"/>
      </w:tblGrid>
      <w:tr>
        <w:trPr/>
        <w:tc>
          <w:tcPr>
            <w:tcW w:w="1891" w:type="dxa"/>
            <w:tcBorders>
              <w:bottom w:val="single" w:sz="2" w:space="0" w:color="000000"/>
            </w:tcBorders>
            <w:vAlign w:val="center"/>
          </w:tcPr>
          <w:p>
            <w:pPr>
              <w:pStyle w:val="TableContents"/>
              <w:bidi w:val="0"/>
              <w:spacing w:before="0" w:after="283"/>
              <w:jc w:val="center"/>
              <w:rPr>
                <w:b/>
              </w:rPr>
            </w:pPr>
            <w:r>
              <w:rPr>
                <w:b/>
              </w:rPr>
              <w:t>Title of each class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61" w:type="dxa"/>
            <w:tcBorders>
              <w:bottom w:val="single" w:sz="2" w:space="0" w:color="000000"/>
            </w:tcBorders>
            <w:vAlign w:val="center"/>
          </w:tcPr>
          <w:p>
            <w:pPr>
              <w:pStyle w:val="TableContents"/>
              <w:bidi w:val="0"/>
              <w:spacing w:before="0" w:after="283"/>
              <w:jc w:val="center"/>
              <w:rPr>
                <w:b/>
              </w:rPr>
            </w:pPr>
            <w:r>
              <w:rPr>
                <w:b/>
              </w:rPr>
              <w:t>Trading Symbols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591" w:type="dxa"/>
            <w:tcBorders>
              <w:bottom w:val="single" w:sz="2" w:space="0" w:color="000000"/>
            </w:tcBorders>
            <w:vAlign w:val="center"/>
          </w:tcPr>
          <w:p>
            <w:pPr>
              <w:pStyle w:val="TableContents"/>
              <w:bidi w:val="0"/>
              <w:spacing w:before="0" w:after="283"/>
              <w:jc w:val="center"/>
              <w:rPr>
                <w:b/>
              </w:rPr>
            </w:pPr>
            <w:r>
              <w:rPr>
                <w:b/>
              </w:rPr>
              <w:t>Name of each exchange on which registered</w:t>
            </w:r>
          </w:p>
        </w:tc>
      </w:tr>
      <w:tr>
        <w:trPr/>
        <w:tc>
          <w:tcPr>
            <w:tcW w:w="1891" w:type="dxa"/>
            <w:tcBorders/>
            <w:tcMar>
              <w:top w:w="28" w:type="dxa"/>
              <w:left w:w="28" w:type="dxa"/>
              <w:right w:w="28" w:type="dxa"/>
            </w:tcMar>
            <w:vAlign w:val="center"/>
          </w:tcPr>
          <w:p>
            <w:pPr>
              <w:pStyle w:val="TableContents"/>
              <w:bidi w:val="0"/>
              <w:spacing w:before="0" w:after="283"/>
              <w:jc w:val="center"/>
              <w:rPr/>
            </w:pPr>
            <w:r>
              <w:rPr/>
              <w:t xml:space="preserve">Common Shares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61" w:type="dxa"/>
            <w:tcBorders/>
            <w:tcMar>
              <w:top w:w="28" w:type="dxa"/>
              <w:left w:w="28" w:type="dxa"/>
              <w:right w:w="28" w:type="dxa"/>
            </w:tcMar>
            <w:vAlign w:val="center"/>
          </w:tcPr>
          <w:p>
            <w:pPr>
              <w:pStyle w:val="TableContents"/>
              <w:bidi w:val="0"/>
              <w:spacing w:before="0" w:after="283"/>
              <w:jc w:val="center"/>
              <w:rPr/>
            </w:pPr>
            <w:r>
              <w:rPr/>
              <w:t xml:space="preserve">ANY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591" w:type="dxa"/>
            <w:tcBorders/>
            <w:tcMar>
              <w:top w:w="28" w:type="dxa"/>
              <w:left w:w="28" w:type="dxa"/>
              <w:right w:w="28" w:type="dxa"/>
            </w:tcMar>
            <w:vAlign w:val="center"/>
          </w:tcPr>
          <w:p>
            <w:pPr>
              <w:pStyle w:val="TableContents"/>
              <w:bidi w:val="0"/>
              <w:spacing w:before="0" w:after="283"/>
              <w:jc w:val="center"/>
              <w:rPr/>
            </w:pPr>
            <w:r>
              <w:rPr/>
              <w:t xml:space="preserve">NASDAQ Capital Market </w:t>
            </w:r>
          </w:p>
        </w:tc>
      </w:tr>
    </w:tbl>
    <w:p>
      <w:pPr>
        <w:pStyle w:val="TextBody"/>
        <w:bidi w:val="0"/>
        <w:spacing w:before="200" w:after="20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 -2 of this chapter).</w:t>
      </w:r>
    </w:p>
    <w:p>
      <w:pPr>
        <w:pStyle w:val="TextBody"/>
        <w:bidi w:val="0"/>
        <w:spacing w:before="200" w:after="200"/>
        <w:jc w:val="both"/>
        <w:rPr>
          <w:rFonts w:ascii="Times New Roman" w:hAnsi="Times New Roman"/>
          <w:sz w:val="20"/>
        </w:rPr>
      </w:pPr>
      <w:r>
        <w:rPr>
          <w:rFonts w:ascii="Times New Roman" w:hAnsi="Times New Roman"/>
          <w:sz w:val="20"/>
        </w:rPr>
        <w:t xml:space="preserve">Emerging growth company ☐ </w:t>
      </w:r>
    </w:p>
    <w:p>
      <w:pPr>
        <w:pStyle w:val="TextBody"/>
        <w:bidi w:val="0"/>
        <w:spacing w:before="200" w:after="20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00" w:after="200"/>
        <w:jc w:val="both"/>
        <w:rPr>
          <w:rFonts w:ascii="Times New Roman" w:hAnsi="Times New Roman"/>
          <w:b/>
          <w:sz w:val="20"/>
        </w:rPr>
      </w:pPr>
      <w:bookmarkStart w:id="5" w:name="page_2"/>
      <w:bookmarkEnd w:id="5"/>
      <w:r>
        <w:rPr>
          <w:rFonts w:ascii="Times New Roman" w:hAnsi="Times New Roman"/>
          <w:b/>
          <w:sz w:val="20"/>
        </w:rPr>
        <w:t>Item 1.01 Entry into a Material Definitive Agreement</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As previously reported, on January 3, 2025, Sphere 3D Corp. (the "</w:t>
      </w:r>
      <w:r>
        <w:rPr>
          <w:rFonts w:ascii="Times New Roman" w:hAnsi="Times New Roman"/>
          <w:sz w:val="20"/>
          <w:u w:val="single"/>
        </w:rPr>
        <w:t>Company</w:t>
      </w:r>
      <w:r>
        <w:rPr>
          <w:rFonts w:ascii="Times New Roman" w:hAnsi="Times New Roman"/>
          <w:sz w:val="20"/>
        </w:rPr>
        <w:t>"), entered into a Sales Agreement (the "</w:t>
      </w:r>
      <w:r>
        <w:rPr>
          <w:rFonts w:ascii="Times New Roman" w:hAnsi="Times New Roman"/>
          <w:sz w:val="20"/>
          <w:u w:val="single"/>
        </w:rPr>
        <w:t>Original Sales Agreement</w:t>
      </w:r>
      <w:r>
        <w:rPr>
          <w:rFonts w:ascii="Times New Roman" w:hAnsi="Times New Roman"/>
          <w:sz w:val="20"/>
        </w:rPr>
        <w:t>") with A.G.P./Alliance Global Partners ("</w:t>
      </w:r>
      <w:r>
        <w:rPr>
          <w:rFonts w:ascii="Times New Roman" w:hAnsi="Times New Roman"/>
          <w:sz w:val="20"/>
          <w:u w:val="single"/>
        </w:rPr>
        <w:t>A.G.P.</w:t>
      </w:r>
      <w:r>
        <w:rPr>
          <w:rFonts w:ascii="Times New Roman" w:hAnsi="Times New Roman"/>
          <w:sz w:val="20"/>
        </w:rPr>
        <w:t>"), relating to the Company's issuance and sale, from time to time, of its common shares, no par value per share (the "</w:t>
      </w:r>
      <w:r>
        <w:rPr>
          <w:rFonts w:ascii="Times New Roman" w:hAnsi="Times New Roman"/>
          <w:sz w:val="20"/>
          <w:u w:val="single"/>
        </w:rPr>
        <w:t>Common Shares</w:t>
      </w:r>
      <w:r>
        <w:rPr>
          <w:rFonts w:ascii="Times New Roman" w:hAnsi="Times New Roman"/>
          <w:sz w:val="20"/>
        </w:rPr>
        <w:t>"). On July 31, 2026, the Company entered into an Amended and Restated Sales Agreement (the "</w:t>
      </w:r>
      <w:r>
        <w:rPr>
          <w:rFonts w:ascii="Times New Roman" w:hAnsi="Times New Roman"/>
          <w:sz w:val="20"/>
          <w:u w:val="single"/>
        </w:rPr>
        <w:t>A&amp;R Sales Agreement</w:t>
      </w:r>
      <w:r>
        <w:rPr>
          <w:rFonts w:ascii="Times New Roman" w:hAnsi="Times New Roman"/>
          <w:sz w:val="20"/>
        </w:rPr>
        <w:t>") with A.G.P. and Maxim Group LLC ("</w:t>
      </w:r>
      <w:r>
        <w:rPr>
          <w:rFonts w:ascii="Times New Roman" w:hAnsi="Times New Roman"/>
          <w:sz w:val="20"/>
          <w:u w:val="single"/>
        </w:rPr>
        <w:t>Maxim</w:t>
      </w:r>
      <w:r>
        <w:rPr>
          <w:rFonts w:ascii="Times New Roman" w:hAnsi="Times New Roman"/>
          <w:sz w:val="20"/>
        </w:rPr>
        <w:t>" and, together with A.G.P., the "</w:t>
      </w:r>
      <w:r>
        <w:rPr>
          <w:rFonts w:ascii="Times New Roman" w:hAnsi="Times New Roman"/>
          <w:sz w:val="20"/>
          <w:u w:val="single"/>
        </w:rPr>
        <w:t>Sales Agents</w:t>
      </w:r>
      <w:r>
        <w:rPr>
          <w:rFonts w:ascii="Times New Roman" w:hAnsi="Times New Roman"/>
          <w:sz w:val="20"/>
        </w:rPr>
        <w:t>") for the purpose of amending the Original Sales Agreement to provide for the addition of Maxim as a sales agent thereunder and to effect conforming changes related thereto. The A&amp;R Sales Agreement otherwise retains all material terms of the Original Sales Agreement. The A&amp;R Sales Agreement provides for the sale of Common Shares having an aggregate offering price of up to $10,300,000 (the "</w:t>
      </w:r>
      <w:r>
        <w:rPr>
          <w:rFonts w:ascii="Times New Roman" w:hAnsi="Times New Roman"/>
          <w:sz w:val="20"/>
          <w:u w:val="single"/>
        </w:rPr>
        <w:t>Placement Shares</w:t>
      </w:r>
      <w:r>
        <w:rPr>
          <w:rFonts w:ascii="Times New Roman" w:hAnsi="Times New Roman"/>
          <w:sz w:val="20"/>
        </w:rPr>
        <w:t>") in transactions that are deemed to be "at the market offerings" as defined in Rule 415 under the Securities Act of 1933, as amended, pursuant to the Company's Registration Statement on Form S-3 (File No. 333-269663) and the prospectus supplement (the "</w:t>
      </w:r>
      <w:r>
        <w:rPr>
          <w:rFonts w:ascii="Times New Roman" w:hAnsi="Times New Roman"/>
          <w:sz w:val="20"/>
          <w:u w:val="single"/>
        </w:rPr>
        <w:t>Prospectus Supplement")</w:t>
      </w:r>
      <w:r>
        <w:rPr>
          <w:rFonts w:ascii="Times New Roman" w:hAnsi="Times New Roman"/>
          <w:sz w:val="20"/>
        </w:rPr>
        <w:t xml:space="preserve"> relating thereto filed on July 31, 2026.</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The foregoing description of the A&amp;R Sales Agreement is only a summary and is qualified in its entirety by reference to the full text of the A&amp;R Sales Agreement, which is filed as Exhibit 10.1 to this Current Report on Form 8-K and incorporated by reference in this Item 1.01. The legal opinion of DuMoulin Black LLP relating to the sale of the Placement Shares pursuant to the Prospectus Supplement is filed herewith as Exhibit 5.1.</w:t>
      </w:r>
    </w:p>
    <w:p>
      <w:pPr>
        <w:pStyle w:val="TextBody"/>
        <w:shd w:fill="FFFFFF" w:val="clear"/>
        <w:bidi w:val="0"/>
        <w:spacing w:before="200" w:after="200"/>
        <w:jc w:val="both"/>
        <w:rPr>
          <w:rFonts w:ascii="Times New Roman" w:hAnsi="Times New Roman"/>
          <w:b/>
          <w:sz w:val="20"/>
        </w:rPr>
      </w:pPr>
      <w:r>
        <w:rPr>
          <w:rFonts w:ascii="Times New Roman" w:hAnsi="Times New Roman"/>
          <w:b/>
          <w:sz w:val="20"/>
        </w:rPr>
        <w:t>Item 8.01. Other Events</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The Company previously offered and sold Common Shares under the Original Sales Agreement pursuant to the Registration Statement, as supplemented by the prospectus supplement dated January 3, 2025 (the "</w:t>
      </w:r>
      <w:r>
        <w:rPr>
          <w:rFonts w:ascii="Times New Roman" w:hAnsi="Times New Roman"/>
          <w:sz w:val="20"/>
          <w:u w:val="single"/>
        </w:rPr>
        <w:t>Prior Prospectus Supplement</w:t>
      </w:r>
      <w:r>
        <w:rPr>
          <w:rFonts w:ascii="Times New Roman" w:hAnsi="Times New Roman"/>
          <w:sz w:val="20"/>
        </w:rPr>
        <w:t>"), which covered the offer and sale of Common Shares having an aggregate offering price of up to $8,000,000. Through July 30, 2026, the Company issued and sold an aggregate of 2,172,789 Common Shares thereunder for aggregate gross proceeds of approximately $5,131,036, before deducting commissions and offering expenses.</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In connection with the entry into the A&amp;R Sales Agreement and the filing of the Prospectus Supplement, the Company terminated the offering of Common Shares under the Prior Prospectus Supplement, effective July 31, 2026. The Prior Prospectus Supplement has been superseded and replaced in its entirety, and the Company will not offer or sell any additional Common Shares thereunder.</w:t>
      </w:r>
    </w:p>
    <w:p>
      <w:pPr>
        <w:pStyle w:val="TextBody"/>
        <w:shd w:fill="FFFFFF" w:val="clear"/>
        <w:bidi w:val="0"/>
        <w:spacing w:before="200" w:after="200"/>
        <w:ind w:left="0" w:right="0" w:firstLine="540"/>
        <w:jc w:val="both"/>
        <w:rPr>
          <w:rFonts w:ascii="Times New Roman" w:hAnsi="Times New Roman"/>
          <w:sz w:val="20"/>
        </w:rPr>
      </w:pPr>
      <w:r>
        <w:rPr>
          <w:rFonts w:ascii="Times New Roman" w:hAnsi="Times New Roman"/>
          <w:sz w:val="20"/>
        </w:rPr>
        <w:t>This Current Report on Form 8-K shall not constitute an offer to sell or the solicitation of an offer to buy Placement Shares, nor shall there be any sale of the Placement Shares in any state or jurisdiction in which such offer, solicitation or sale would be unlawful prior to registration or qualification under the securities laws of any such state or jurisdiction.</w:t>
      </w:r>
    </w:p>
    <w:p>
      <w:pPr>
        <w:pStyle w:val="TextBody"/>
        <w:bidi w:val="0"/>
        <w:spacing w:before="200" w:after="200"/>
        <w:jc w:val="both"/>
        <w:rPr>
          <w:rFonts w:ascii="Times New Roman" w:hAnsi="Times New Roman"/>
          <w:b/>
          <w:sz w:val="20"/>
        </w:rPr>
      </w:pPr>
      <w:r>
        <w:rPr>
          <w:rFonts w:ascii="Times New Roman" w:hAnsi="Times New Roman"/>
          <w:b/>
          <w:sz w:val="20"/>
        </w:rPr>
        <w:t>Item 9.01. Financial Statements and Exhibits</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6" w:space="0" w:color="000000"/>
            </w:tcBorders>
            <w:vAlign w:val="center"/>
          </w:tcPr>
          <w:p>
            <w:pPr>
              <w:pStyle w:val="TableContents"/>
              <w:bidi w:val="0"/>
              <w:spacing w:before="0" w:after="0"/>
              <w:jc w:val="left"/>
              <w:rPr>
                <w:b/>
              </w:rPr>
            </w:pPr>
            <w:r>
              <w:rPr>
                <w:b/>
              </w:rPr>
              <w:t>Exhibit</w:t>
              <w:br/>
              <w:t>No.</w:t>
            </w:r>
          </w:p>
        </w:tc>
        <w:tc>
          <w:tcPr>
            <w:tcW w:w="60" w:type="dxa"/>
            <w:tcBorders/>
            <w:tcMar>
              <w:bottom w:w="0" w:type="dxa"/>
            </w:tcMar>
            <w:vAlign w:val="center"/>
          </w:tcPr>
          <w:p>
            <w:pPr>
              <w:pStyle w:val="TableContents"/>
              <w:bidi w:val="0"/>
              <w:spacing w:before="0" w:after="283"/>
              <w:jc w:val="left"/>
              <w:rPr>
                <w:b/>
              </w:rPr>
            </w:pPr>
            <w:r>
              <w:rPr>
                <w:b/>
              </w:rPr>
            </w:r>
          </w:p>
        </w:tc>
        <w:tc>
          <w:tcPr>
            <w:tcW w:w="9360" w:type="dxa"/>
            <w:tcBorders>
              <w:bottom w:val="single" w:sz="6" w:space="0" w:color="000000"/>
            </w:tcBorders>
            <w:vAlign w:val="center"/>
          </w:tcPr>
          <w:p>
            <w:pPr>
              <w:pStyle w:val="TableContents"/>
              <w:bidi w:val="0"/>
              <w:spacing w:before="0" w:after="0"/>
              <w:jc w:val="left"/>
              <w:rPr>
                <w:b/>
              </w:rPr>
            </w:pPr>
            <w:r>
              <w:rPr>
                <w:b/>
              </w:rPr>
              <w:t>Description</w:t>
            </w:r>
          </w:p>
        </w:tc>
      </w:tr>
      <w:tr>
        <w:trPr/>
        <w:tc>
          <w:tcPr>
            <w:tcW w:w="7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360" w:type="dxa"/>
            <w:tcBorders/>
            <w:tcMar>
              <w:bottom w:w="0" w:type="dxa"/>
            </w:tcMar>
            <w:vAlign w:val="center"/>
          </w:tcPr>
          <w:p>
            <w:pPr>
              <w:pStyle w:val="TableContents"/>
              <w:bidi w:val="0"/>
              <w:spacing w:before="0" w:after="283"/>
              <w:jc w:val="both"/>
              <w:rPr/>
            </w:pPr>
            <w:r>
              <w:rPr/>
              <w:t> </w:t>
            </w:r>
          </w:p>
        </w:tc>
      </w:tr>
      <w:tr>
        <w:trPr/>
        <w:tc>
          <w:tcPr>
            <w:tcW w:w="785" w:type="dxa"/>
            <w:tcBorders/>
            <w:shd w:fill="EEEEEE" w:val="clear"/>
            <w:tcMar>
              <w:bottom w:w="0" w:type="dxa"/>
            </w:tcMar>
            <w:vAlign w:val="center"/>
          </w:tcPr>
          <w:p>
            <w:pPr>
              <w:pStyle w:val="TableContents"/>
              <w:bidi w:val="0"/>
              <w:spacing w:before="0" w:after="0"/>
              <w:jc w:val="left"/>
              <w:rPr/>
            </w:pPr>
            <w:hyperlink w:anchor="exhibit5-1.htm">
              <w:r>
                <w:rPr>
                  <w:rStyle w:val="InternetLink"/>
                </w:rPr>
                <w:t>5.1</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60" w:type="dxa"/>
            <w:tcBorders/>
            <w:shd w:fill="EEEEEE" w:val="clear"/>
            <w:tcMar>
              <w:bottom w:w="0" w:type="dxa"/>
            </w:tcMar>
            <w:vAlign w:val="center"/>
          </w:tcPr>
          <w:p>
            <w:pPr>
              <w:pStyle w:val="TableContents"/>
              <w:bidi w:val="0"/>
              <w:spacing w:before="0" w:after="283"/>
              <w:jc w:val="both"/>
              <w:rPr/>
            </w:pPr>
            <w:hyperlink w:anchor="exhibit5-1.htm">
              <w:r>
                <w:rPr>
                  <w:rStyle w:val="InternetLink"/>
                </w:rPr>
                <w:t>Opinion of DuMoulin Black LLP</w:t>
              </w:r>
            </w:hyperlink>
          </w:p>
        </w:tc>
      </w:tr>
      <w:tr>
        <w:trPr/>
        <w:tc>
          <w:tcPr>
            <w:tcW w:w="785" w:type="dxa"/>
            <w:tcBorders/>
            <w:tcMar>
              <w:bottom w:w="0" w:type="dxa"/>
            </w:tcMar>
            <w:vAlign w:val="center"/>
          </w:tcPr>
          <w:p>
            <w:pPr>
              <w:pStyle w:val="TableContents"/>
              <w:bidi w:val="0"/>
              <w:spacing w:before="0" w:after="0"/>
              <w:jc w:val="left"/>
              <w:rPr/>
            </w:pPr>
            <w:hyperlink w:anchor="exhibit10-1.htm">
              <w:r>
                <w:rPr>
                  <w:rStyle w:val="InternetLink"/>
                </w:rPr>
                <w:t>10.1</w:t>
              </w:r>
            </w:hyperlink>
          </w:p>
        </w:tc>
        <w:tc>
          <w:tcPr>
            <w:tcW w:w="60" w:type="dxa"/>
            <w:tcBorders/>
            <w:tcMar>
              <w:bottom w:w="0" w:type="dxa"/>
            </w:tcMar>
            <w:vAlign w:val="center"/>
          </w:tcPr>
          <w:p>
            <w:pPr>
              <w:pStyle w:val="TableContents"/>
              <w:bidi w:val="0"/>
              <w:spacing w:before="0" w:after="0"/>
              <w:jc w:val="left"/>
              <w:rPr/>
            </w:pPr>
            <w:r>
              <w:rPr/>
              <w:t> </w:t>
            </w:r>
          </w:p>
        </w:tc>
        <w:tc>
          <w:tcPr>
            <w:tcW w:w="9360" w:type="dxa"/>
            <w:tcBorders/>
            <w:tcMar>
              <w:bottom w:w="0" w:type="dxa"/>
            </w:tcMar>
            <w:vAlign w:val="center"/>
          </w:tcPr>
          <w:p>
            <w:pPr>
              <w:pStyle w:val="TableContents"/>
              <w:bidi w:val="0"/>
              <w:spacing w:before="0" w:after="283"/>
              <w:jc w:val="both"/>
              <w:rPr/>
            </w:pPr>
            <w:hyperlink w:anchor="exhibit10-1.htm">
              <w:r>
                <w:rPr>
                  <w:rStyle w:val="InternetLink"/>
                </w:rPr>
                <w:t>Amended and Restated Sales Agreement, dated as of July 31, 2026, by and among Sphere 3D Corp., A.G.P./Alliance Global Partners and Maxim Group LLC.</w:t>
              </w:r>
            </w:hyperlink>
          </w:p>
        </w:tc>
      </w:tr>
      <w:tr>
        <w:trPr/>
        <w:tc>
          <w:tcPr>
            <w:tcW w:w="785" w:type="dxa"/>
            <w:tcBorders/>
            <w:shd w:fill="EEEEEE" w:val="clear"/>
            <w:tcMar>
              <w:bottom w:w="0" w:type="dxa"/>
            </w:tcMar>
            <w:vAlign w:val="center"/>
          </w:tcPr>
          <w:p>
            <w:pPr>
              <w:pStyle w:val="TableContents"/>
              <w:bidi w:val="0"/>
              <w:spacing w:before="0" w:after="0"/>
              <w:jc w:val="left"/>
              <w:rPr/>
            </w:pPr>
            <w:hyperlink w:anchor="exhibit5-1.htm">
              <w:r>
                <w:rPr>
                  <w:rStyle w:val="InternetLink"/>
                </w:rPr>
                <w:t>23.1</w:t>
              </w:r>
            </w:hyperlink>
          </w:p>
        </w:tc>
        <w:tc>
          <w:tcPr>
            <w:tcW w:w="60" w:type="dxa"/>
            <w:tcBorders/>
            <w:shd w:fill="EEEEEE" w:val="clear"/>
            <w:tcMar>
              <w:bottom w:w="0" w:type="dxa"/>
            </w:tcMar>
            <w:vAlign w:val="center"/>
          </w:tcPr>
          <w:p>
            <w:pPr>
              <w:pStyle w:val="TableContents"/>
              <w:bidi w:val="0"/>
              <w:spacing w:before="0" w:after="0"/>
              <w:jc w:val="left"/>
              <w:rPr/>
            </w:pPr>
            <w:r>
              <w:rPr/>
              <w:t> </w:t>
            </w:r>
          </w:p>
        </w:tc>
        <w:tc>
          <w:tcPr>
            <w:tcW w:w="9360" w:type="dxa"/>
            <w:tcBorders/>
            <w:shd w:fill="EEEEEE" w:val="clear"/>
            <w:tcMar>
              <w:bottom w:w="0" w:type="dxa"/>
            </w:tcMar>
            <w:vAlign w:val="center"/>
          </w:tcPr>
          <w:p>
            <w:pPr>
              <w:pStyle w:val="TableContents"/>
              <w:bidi w:val="0"/>
              <w:spacing w:before="0" w:after="283"/>
              <w:jc w:val="both"/>
              <w:rPr/>
            </w:pPr>
            <w:hyperlink w:anchor="exhibit5-1.htm">
              <w:r>
                <w:rPr>
                  <w:rStyle w:val="InternetLink"/>
                </w:rPr>
                <w:t>Consent of DuMoulin Black LLP (included in Exhibit 5.1)</w:t>
              </w:r>
            </w:hyperlink>
          </w:p>
        </w:tc>
      </w:tr>
      <w:tr>
        <w:trPr/>
        <w:tc>
          <w:tcPr>
            <w:tcW w:w="785" w:type="dxa"/>
            <w:tcBorders/>
            <w:tcMar>
              <w:bottom w:w="0" w:type="dxa"/>
            </w:tcMar>
            <w:vAlign w:val="center"/>
          </w:tcPr>
          <w:p>
            <w:pPr>
              <w:pStyle w:val="TableContents"/>
              <w:bidi w:val="0"/>
              <w:spacing w:before="0" w:after="0"/>
              <w:jc w:val="left"/>
              <w:rPr/>
            </w:pPr>
            <w:r>
              <w:rPr/>
              <w:t>104</w:t>
            </w:r>
          </w:p>
        </w:tc>
        <w:tc>
          <w:tcPr>
            <w:tcW w:w="60" w:type="dxa"/>
            <w:tcBorders/>
            <w:tcMar>
              <w:bottom w:w="0" w:type="dxa"/>
            </w:tcMar>
            <w:vAlign w:val="center"/>
          </w:tcPr>
          <w:p>
            <w:pPr>
              <w:pStyle w:val="TableContents"/>
              <w:bidi w:val="0"/>
              <w:spacing w:before="0" w:after="0"/>
              <w:jc w:val="left"/>
              <w:rPr/>
            </w:pPr>
            <w:r>
              <w:rPr/>
              <w:t> </w:t>
            </w:r>
          </w:p>
        </w:tc>
        <w:tc>
          <w:tcPr>
            <w:tcW w:w="9360"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 w:hAnsi="Times New Roman"/>
          <w:b/>
          <w:sz w:val="20"/>
        </w:rPr>
      </w:pPr>
      <w:bookmarkStart w:id="6" w:name="page_3"/>
      <w:bookmarkEnd w:id="6"/>
      <w:r>
        <w:rPr>
          <w:rFonts w:ascii="Times New Roman" w:hAnsi="Times New Roman"/>
          <w:b/>
          <w:sz w:val="20"/>
        </w:rPr>
        <w:t>SIGNATURES</w:t>
      </w:r>
    </w:p>
    <w:p>
      <w:pPr>
        <w:pStyle w:val="TextBody"/>
        <w:bidi w:val="0"/>
        <w:spacing w:before="0" w:after="200"/>
        <w:ind w:left="0" w:right="0" w:firstLine="720"/>
        <w:jc w:val="both"/>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thereunto duly authorized.</w:t>
      </w:r>
    </w:p>
    <w:p>
      <w:pPr>
        <w:pStyle w:val="TextBody"/>
        <w:bidi w:val="0"/>
        <w:spacing w:before="200" w:after="200"/>
        <w:jc w:val="both"/>
        <w:rPr>
          <w:rFonts w:ascii="Times New Roman" w:hAnsi="Times New Roman"/>
          <w:sz w:val="20"/>
        </w:rPr>
      </w:pPr>
      <w:r>
        <w:rPr>
          <w:rFonts w:ascii="Times New Roman" w:hAnsi="Times New Roman"/>
          <w:sz w:val="20"/>
        </w:rPr>
        <w:t xml:space="preserve">Date: </w:t>
      </w:r>
      <w:r>
        <w:rPr>
          <w:rFonts w:ascii="Times New Roman" w:hAnsi="Times New Roman"/>
          <w:sz w:val="20"/>
          <w:shd w:fill="FFFFFF" w:val="clear"/>
        </w:rPr>
        <w:t>July 31, 2026</w:t>
      </w:r>
    </w:p>
    <w:tbl>
      <w:tblPr>
        <w:tblW w:w="2665" w:type="dxa"/>
        <w:jc w:val="left"/>
        <w:tblInd w:w="0" w:type="dxa"/>
        <w:tblLayout w:type="fixed"/>
        <w:tblCellMar>
          <w:top w:w="0" w:type="dxa"/>
          <w:left w:w="0" w:type="dxa"/>
          <w:bottom w:w="0" w:type="dxa"/>
          <w:right w:w="0" w:type="dxa"/>
        </w:tblCellMar>
      </w:tblPr>
      <w:tblGrid>
        <w:gridCol w:w="75"/>
        <w:gridCol w:w="365"/>
        <w:gridCol w:w="2225"/>
      </w:tblGrid>
      <w:tr>
        <w:trPr/>
        <w:tc>
          <w:tcPr>
            <w:tcW w:w="75" w:type="dxa"/>
            <w:tcBorders/>
            <w:vAlign w:val="center"/>
          </w:tcPr>
          <w:p>
            <w:pPr>
              <w:pStyle w:val="TableContents"/>
              <w:bidi w:val="0"/>
              <w:spacing w:before="0" w:after="0"/>
              <w:jc w:val="left"/>
              <w:rPr/>
            </w:pPr>
            <w:r>
              <w:rPr/>
              <w:t> </w:t>
            </w:r>
          </w:p>
        </w:tc>
        <w:tc>
          <w:tcPr>
            <w:tcW w:w="2590" w:type="dxa"/>
            <w:gridSpan w:val="2"/>
            <w:tcBorders/>
            <w:vAlign w:val="center"/>
          </w:tcPr>
          <w:p>
            <w:pPr>
              <w:pStyle w:val="TableContents"/>
              <w:bidi w:val="0"/>
              <w:spacing w:before="0" w:after="0"/>
              <w:jc w:val="left"/>
              <w:rPr>
                <w:b/>
              </w:rPr>
            </w:pPr>
            <w:r>
              <w:rPr>
                <w:b/>
              </w:rPr>
              <w:t>SPHERE 3D CORP.</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By:</w:t>
            </w:r>
          </w:p>
        </w:tc>
        <w:tc>
          <w:tcPr>
            <w:tcW w:w="2225" w:type="dxa"/>
            <w:tcBorders>
              <w:bottom w:val="single" w:sz="6" w:space="0" w:color="000000"/>
            </w:tcBorders>
            <w:tcMar>
              <w:bottom w:w="28" w:type="dxa"/>
            </w:tcMar>
            <w:vAlign w:val="center"/>
          </w:tcPr>
          <w:p>
            <w:pPr>
              <w:pStyle w:val="TableContents"/>
              <w:bidi w:val="0"/>
              <w:spacing w:before="0" w:after="0"/>
              <w:jc w:val="left"/>
              <w:rPr/>
            </w:pPr>
            <w:r>
              <w:rPr/>
              <w:t>/s/ Kurt Kalbfleisch</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Kurt Kalbfleisch</w:t>
            </w:r>
          </w:p>
        </w:tc>
      </w:tr>
      <w:tr>
        <w:trPr/>
        <w:tc>
          <w:tcPr>
            <w:tcW w:w="7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pBdr>
          <w:bottom w:val="single" w:sz="18" w:space="0" w:color="000000"/>
        </w:pBdr>
        <w:bidi w:val="0"/>
        <w:jc w:val="left"/>
        <w:rPr/>
      </w:pPr>
      <w:r>
        <w:rPr/>
      </w:r>
      <w:bookmarkStart w:id="7" w:name="exhibit5-1.htm"/>
      <w:bookmarkStart w:id="8" w:name="ksexhibit51"/>
      <w:bookmarkStart w:id="9" w:name="exhibit5-1.htm"/>
      <w:bookmarkStart w:id="10" w:name="ksexhibit51"/>
      <w:bookmarkEnd w:id="9"/>
      <w:bookmarkEnd w:id="10"/>
      <w:r>
        <w:br w:type="page"/>
      </w:r>
    </w:p>
    <w:p>
      <w:pPr>
        <w:pStyle w:val="TextBody"/>
        <w:bidi w:val="0"/>
        <w:spacing w:before="200" w:after="200"/>
        <w:jc w:val="left"/>
        <w:rPr/>
      </w:pPr>
      <w:bookmarkStart w:id="11" w:name="page_11"/>
      <w:bookmarkEnd w:id="11"/>
      <w:r>
        <w:rPr/>
        <w:drawing>
          <wp:inline distT="0" distB="0" distL="0" distR="0">
            <wp:extent cx="250507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742950"/>
                    </a:xfrm>
                    <a:prstGeom prst="rect">
                      <a:avLst/>
                    </a:prstGeom>
                  </pic:spPr>
                </pic:pic>
              </a:graphicData>
            </a:graphic>
          </wp:inline>
        </w:drawing>
      </w:r>
    </w:p>
    <w:p>
      <w:pPr>
        <w:pStyle w:val="TextBody"/>
        <w:bidi w:val="0"/>
        <w:spacing w:before="200" w:after="0"/>
        <w:jc w:val="right"/>
        <w:rPr>
          <w:color w:val="595959"/>
        </w:rPr>
      </w:pPr>
      <w:r>
        <w:rPr>
          <w:color w:val="595959"/>
        </w:rPr>
        <w:t>DuMoulin Black LLP</w:t>
      </w:r>
    </w:p>
    <w:p>
      <w:pPr>
        <w:pStyle w:val="TextBody"/>
        <w:bidi w:val="0"/>
        <w:spacing w:before="0" w:after="0"/>
        <w:jc w:val="right"/>
        <w:rPr>
          <w:color w:val="595959"/>
        </w:rPr>
      </w:pPr>
      <w:r>
        <w:rPr>
          <w:color w:val="595959"/>
        </w:rPr>
        <w:t>15</w:t>
      </w:r>
      <w:r>
        <w:rPr>
          <w:color w:val="595959"/>
          <w:position w:val="8"/>
          <w:sz w:val="19"/>
        </w:rPr>
        <w:t xml:space="preserve">TH </w:t>
      </w:r>
      <w:r>
        <w:rPr>
          <w:color w:val="595959"/>
        </w:rPr>
        <w:t>Floor, 1111 West Hastings Street</w:t>
      </w:r>
    </w:p>
    <w:p>
      <w:pPr>
        <w:pStyle w:val="TextBody"/>
        <w:bidi w:val="0"/>
        <w:spacing w:before="0" w:after="0"/>
        <w:jc w:val="right"/>
        <w:rPr>
          <w:color w:val="595959"/>
        </w:rPr>
      </w:pPr>
      <w:r>
        <w:rPr>
          <w:color w:val="595959"/>
        </w:rPr>
        <w:t>Vancouver BC Canada V6E 2J3</w:t>
      </w:r>
    </w:p>
    <w:p>
      <w:pPr>
        <w:pStyle w:val="TextBody"/>
        <w:bidi w:val="0"/>
        <w:spacing w:before="0" w:after="200"/>
        <w:jc w:val="right"/>
        <w:rPr>
          <w:color w:val="595959"/>
        </w:rPr>
      </w:pPr>
      <w:r>
        <w:rPr>
          <w:color w:val="595959"/>
        </w:rPr>
        <w:t>www.dumoulinblack.com</w:t>
      </w:r>
    </w:p>
    <w:p>
      <w:pPr>
        <w:pStyle w:val="TextBody"/>
        <w:bidi w:val="0"/>
        <w:spacing w:before="200" w:after="0"/>
        <w:jc w:val="right"/>
        <w:rPr>
          <w:color w:val="595959"/>
        </w:rPr>
      </w:pPr>
      <w:r>
        <w:rPr>
          <w:color w:val="595959"/>
        </w:rPr>
        <w:t>Telephone No. (604) 687-1224</w:t>
      </w:r>
    </w:p>
    <w:p>
      <w:pPr>
        <w:pStyle w:val="TextBody"/>
        <w:bidi w:val="0"/>
        <w:spacing w:before="0" w:after="200"/>
        <w:ind w:left="9870" w:right="0" w:hanging="0"/>
        <w:jc w:val="right"/>
        <w:rPr/>
      </w:pPr>
      <w:r>
        <w:rPr/>
        <w:t>File No. 6572-003</w:t>
      </w:r>
    </w:p>
    <w:p>
      <w:pPr>
        <w:pStyle w:val="TextBody"/>
        <w:bidi w:val="0"/>
        <w:spacing w:before="200" w:after="200"/>
        <w:jc w:val="both"/>
        <w:rPr/>
      </w:pPr>
      <w:r>
        <w:rPr/>
        <w:t>July 31, 2026</w:t>
      </w:r>
    </w:p>
    <w:p>
      <w:pPr>
        <w:pStyle w:val="TextBody"/>
        <w:bidi w:val="0"/>
        <w:spacing w:before="200" w:after="0"/>
        <w:jc w:val="both"/>
        <w:rPr/>
      </w:pPr>
      <w:r>
        <w:rPr/>
        <w:t>Sphere 3D Corp.</w:t>
      </w:r>
    </w:p>
    <w:p>
      <w:pPr>
        <w:pStyle w:val="TextBody"/>
        <w:bidi w:val="0"/>
        <w:spacing w:before="0" w:after="0"/>
        <w:jc w:val="both"/>
        <w:rPr/>
      </w:pPr>
      <w:r>
        <w:rPr/>
        <w:t>243 Tresser Blvd, 17th Floor</w:t>
      </w:r>
    </w:p>
    <w:p>
      <w:pPr>
        <w:pStyle w:val="TextBody"/>
        <w:bidi w:val="0"/>
        <w:spacing w:before="0" w:after="200"/>
        <w:jc w:val="both"/>
        <w:rPr/>
      </w:pPr>
      <w:r>
        <w:rPr/>
        <w:t>Stamford, Connecticut 06901</w:t>
      </w:r>
    </w:p>
    <w:p>
      <w:pPr>
        <w:pStyle w:val="TextBody"/>
        <w:bidi w:val="0"/>
        <w:spacing w:before="200" w:after="200"/>
        <w:jc w:val="both"/>
        <w:rPr/>
      </w:pPr>
      <w:r>
        <w:rPr/>
        <w:t>Dear Sirs/Mesdames:</w:t>
      </w:r>
    </w:p>
    <w:p>
      <w:pPr>
        <w:pStyle w:val="TextBody"/>
        <w:bidi w:val="0"/>
        <w:spacing w:before="200" w:after="200"/>
        <w:jc w:val="left"/>
        <w:rPr>
          <w:b/>
        </w:rPr>
      </w:pPr>
      <w:r>
        <w:rPr>
          <w:b/>
        </w:rPr>
        <w:t>Re: Sphere 3D Corp. (the "Company") - Registration Statement on Form S-3 and Prospectus Supplement</w:t>
      </w:r>
    </w:p>
    <w:p>
      <w:pPr>
        <w:pStyle w:val="TextBody"/>
        <w:bidi w:val="0"/>
        <w:spacing w:before="200" w:after="200"/>
        <w:jc w:val="both"/>
        <w:rPr/>
      </w:pPr>
      <w:r>
        <w:rPr/>
        <w:t>We have acted as local counsel in the Province of Ontario to the Company. We understand that the Company has prepared a Registration Statement on Form S-3 (File No. 333-269663) (the "</w:t>
      </w:r>
      <w:r>
        <w:rPr>
          <w:b/>
        </w:rPr>
        <w:t>Registration Statement</w:t>
      </w:r>
      <w:r>
        <w:rPr/>
        <w:t>") under the United States Securities Act of 1933, as amended (the "</w:t>
      </w:r>
      <w:r>
        <w:rPr>
          <w:b/>
        </w:rPr>
        <w:t>Act</w:t>
      </w:r>
      <w:r>
        <w:rPr/>
        <w:t>"), and a prospectus supplement dated July 31, 2026 (the "</w:t>
      </w:r>
      <w:r>
        <w:rPr>
          <w:b/>
        </w:rPr>
        <w:t>Prospectus Supplement</w:t>
      </w:r>
      <w:r>
        <w:rPr/>
        <w:t>") supplementing the base prospectus dated October 15, 2024 (the "</w:t>
      </w:r>
      <w:r>
        <w:rPr>
          <w:b/>
        </w:rPr>
        <w:t>Base Prospectus</w:t>
      </w:r>
      <w:r>
        <w:rPr/>
        <w:t>", and together with the Prospectus Supplement, the "</w:t>
      </w:r>
      <w:r>
        <w:rPr>
          <w:b/>
        </w:rPr>
        <w:t>Prospectus</w:t>
      </w:r>
      <w:r>
        <w:rPr/>
        <w:t>"), which Base Prospectus forms a part of the Registration Statement. The Registration Statement and Prospectus relate to the issuance and sale by the Company of common shares of the Company having an aggregate offering price of up to $10,300,000 (the "</w:t>
      </w:r>
      <w:r>
        <w:rPr>
          <w:b/>
        </w:rPr>
        <w:t>Shares</w:t>
      </w:r>
      <w:r>
        <w:rPr/>
        <w:t>"), from time to time through the Company's sales agents, A.G.P./Alliance Global Partners ("</w:t>
      </w:r>
      <w:r>
        <w:rPr>
          <w:b/>
        </w:rPr>
        <w:t>A.G.P.</w:t>
      </w:r>
      <w:r>
        <w:rPr/>
        <w:t>") and Maxim Group LLC ("</w:t>
      </w:r>
      <w:r>
        <w:rPr>
          <w:b/>
        </w:rPr>
        <w:t>Maxim</w:t>
      </w:r>
      <w:r>
        <w:rPr/>
        <w:t>", and together with A.G.P., the "</w:t>
      </w:r>
      <w:r>
        <w:rPr>
          <w:b/>
        </w:rPr>
        <w:t>Sales Agents</w:t>
      </w:r>
      <w:r>
        <w:rPr/>
        <w:t>"), in transactions deemed to be "at the market offerings" as defined in Rule 415 under the Act, as more fully described in the Prospectus. All capitalized terms not defined herein shall have the meanings ascribed thereto in the Registration Statement or the Prospectus. The Shares shall be sold pursuant to the terms and conditions of an amended and restated sales agreement, dated July 31, 2026, among the Company and the Sales Agents (the "</w:t>
      </w:r>
      <w:r>
        <w:rPr>
          <w:b/>
        </w:rPr>
        <w:t>Sales Agreement</w:t>
      </w:r>
      <w:r>
        <w:rPr/>
        <w:t>").</w:t>
      </w:r>
    </w:p>
    <w:p>
      <w:pPr>
        <w:pStyle w:val="TextBody"/>
        <w:bidi w:val="0"/>
        <w:spacing w:before="200" w:after="200"/>
        <w:jc w:val="both"/>
        <w:rPr/>
      </w:pPr>
      <w:r>
        <w:rPr/>
        <w:t>For the purposes of our opinion, we have examined originals, or copies certified or otherwise identified to our satisfaction, of:</w:t>
      </w:r>
    </w:p>
    <w:p>
      <w:pPr>
        <w:pStyle w:val="TextBody"/>
        <w:bidi w:val="0"/>
        <w:spacing w:before="200" w:after="200"/>
        <w:ind w:left="480" w:right="0" w:hanging="480"/>
        <w:jc w:val="both"/>
        <w:rPr/>
      </w:pPr>
      <w:r>
        <w:rPr/>
        <w:t>1. a certificate of an officer of the Company dated the date hereof (the "</w:t>
      </w:r>
      <w:r>
        <w:rPr>
          <w:b/>
        </w:rPr>
        <w:t>Officer's Certificate</w:t>
      </w:r>
      <w:r>
        <w:rPr/>
        <w:t>");</w:t>
      </w:r>
    </w:p>
    <w:p>
      <w:pPr>
        <w:pStyle w:val="TextBody"/>
        <w:bidi w:val="0"/>
        <w:spacing w:before="200" w:after="200"/>
        <w:ind w:left="480" w:right="0" w:hanging="480"/>
        <w:jc w:val="both"/>
        <w:rPr/>
      </w:pPr>
      <w:r>
        <w:rPr/>
        <w:t>2. the Registration Statement, the Base Prospectus and the Prospectus Supplement;</w:t>
      </w:r>
    </w:p>
    <w:p>
      <w:pPr>
        <w:pStyle w:val="TextBody"/>
        <w:bidi w:val="0"/>
        <w:spacing w:before="200" w:after="200"/>
        <w:ind w:left="480" w:right="0" w:hanging="480"/>
        <w:jc w:val="both"/>
        <w:rPr/>
      </w:pPr>
      <w:r>
        <w:rPr/>
        <w:t>3. a certified copy of resolutions of the board of directors of the Company dated the date hereof;</w:t>
      </w:r>
    </w:p>
    <w:p>
      <w:pPr>
        <w:pStyle w:val="TextBody"/>
        <w:bidi w:val="0"/>
        <w:spacing w:before="200" w:after="200"/>
        <w:ind w:left="480" w:right="0" w:hanging="480"/>
        <w:jc w:val="both"/>
        <w:rPr/>
      </w:pPr>
      <w:r>
        <w:rPr/>
        <w:t xml:space="preserve">4. a certificate of status dated July 30, 2026 of the Company issued by the Ministry of Public and Business Service Delivery of the Government of Ontario pursuant to the </w:t>
      </w:r>
      <w:r>
        <w:rPr>
          <w:i/>
        </w:rPr>
        <w:t xml:space="preserve">Business Corporations Act </w:t>
      </w:r>
      <w:r>
        <w:rPr/>
        <w:t>(Ontario), which we assume remains in full force and effect unamended;</w:t>
      </w:r>
    </w:p>
    <w:p>
      <w:pPr>
        <w:pStyle w:val="TextBody"/>
        <w:bidi w:val="0"/>
        <w:spacing w:before="200" w:after="200"/>
        <w:ind w:left="480" w:right="0" w:hanging="480"/>
        <w:jc w:val="both"/>
        <w:rPr/>
      </w:pPr>
      <w:r>
        <w:rPr/>
        <w:t>5. the certificate and articles of amendment of the Company and the by-laws of the Company (collectively, the "</w:t>
      </w:r>
      <w:r>
        <w:rPr>
          <w:b/>
        </w:rPr>
        <w:t>Constating Documents</w:t>
      </w:r>
      <w:r>
        <w:rPr/>
        <w:t>"); and</w:t>
      </w:r>
    </w:p>
    <w:p>
      <w:pPr>
        <w:pStyle w:val="HorizontalLine"/>
        <w:pBdr>
          <w:bottom w:val="single" w:sz="30" w:space="0" w:color="000000"/>
        </w:pBdr>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480" w:right="0" w:hanging="480"/>
        <w:jc w:val="both"/>
        <w:rPr/>
      </w:pPr>
      <w:r>
        <w:rPr/>
        <w:t>6. the Sales Agreement.</w:t>
      </w:r>
    </w:p>
    <w:p>
      <w:pPr>
        <w:pStyle w:val="TextBody"/>
        <w:bidi w:val="0"/>
        <w:spacing w:before="200" w:after="200"/>
        <w:jc w:val="both"/>
        <w:rPr/>
      </w:pPr>
      <w:r>
        <w:rPr/>
        <w:t>Whenever our opinion refers to shares of the Company, whether issued or to be issued, as being "</w:t>
      </w:r>
      <w:r>
        <w:rPr>
          <w:b/>
        </w:rPr>
        <w:t>fully paid and non-assessable</w:t>
      </w:r>
      <w:r>
        <w:rPr/>
        <w:t>", such opinion indicates that the holder of such shares will not be liable to contribute any further amounts to the Company by virtue of its status as a holder of such shares, either in order to complete payment for the shares or to generally satisfy claims of creditors of the Company. No opinion is expressed as to actual receipt by the Company of the consideration for the issuance of such shares or as to the adequacy of any consideration received.</w:t>
      </w:r>
    </w:p>
    <w:p>
      <w:pPr>
        <w:pStyle w:val="TextBody"/>
        <w:bidi w:val="0"/>
        <w:spacing w:before="200" w:after="200"/>
        <w:jc w:val="both"/>
        <w:rPr/>
      </w:pPr>
      <w:r>
        <w:rPr/>
        <w:t>For the purposes of our opinion below, we have relied solely on the Officer's Certificate in respect of certain factual matters.</w:t>
      </w:r>
    </w:p>
    <w:p>
      <w:pPr>
        <w:pStyle w:val="TextBody"/>
        <w:bidi w:val="0"/>
        <w:spacing w:before="200" w:after="200"/>
        <w:jc w:val="both"/>
        <w:rPr/>
      </w:pPr>
      <w:r>
        <w:rPr/>
        <w:t>The opinions expressed herein are subject to the following exceptions, qualifications and assumptions:</w:t>
      </w:r>
    </w:p>
    <w:p>
      <w:pPr>
        <w:pStyle w:val="TextBody"/>
        <w:bidi w:val="0"/>
        <w:spacing w:before="200" w:after="200"/>
        <w:ind w:left="1440" w:right="0" w:hanging="720"/>
        <w:jc w:val="both"/>
        <w:rPr/>
      </w:pPr>
      <w:r>
        <w:rPr/>
        <w:t>(a) we have assumed the genuineness of all signatures, the legal capacity at all relevant times of any individual signing such documents, the authenticity and completeness of all documents submitted to us as originals, the conformity to authentic original documents of all documents submitted to us as certified or photostatic copies or facsimiles (including scanned copies provided by email), and the authenticity of the originals of such certified or photostatic copies or facsimiles and the truth and accuracy of all corporate records of the Company and certificates of officers provided to us by the Company;</w:t>
      </w:r>
    </w:p>
    <w:p>
      <w:pPr>
        <w:pStyle w:val="TextBody"/>
        <w:bidi w:val="0"/>
        <w:spacing w:before="200" w:after="200"/>
        <w:ind w:left="1440" w:right="0" w:hanging="720"/>
        <w:jc w:val="both"/>
        <w:rPr/>
      </w:pPr>
      <w:r>
        <w:rPr/>
        <w:t>(b) we have assumed that, at all relevant times, the Constating Documents, the resolutions of the board of directors of the Company upon which we have relied and the Sales Agreement have not been or will not be varied, amended or revoked in any respect; and</w:t>
      </w:r>
    </w:p>
    <w:p>
      <w:pPr>
        <w:pStyle w:val="TextBody"/>
        <w:bidi w:val="0"/>
        <w:spacing w:before="200" w:after="200"/>
        <w:ind w:left="1440" w:right="0" w:hanging="720"/>
        <w:jc w:val="both"/>
        <w:rPr/>
      </w:pPr>
      <w:r>
        <w:rPr/>
        <w:t>(c) we have assumed that, at the time of issuance of any Shares, there shall be a sufficient number of Shares available for issuance under the authorized share capital of the Company.</w:t>
      </w:r>
    </w:p>
    <w:p>
      <w:pPr>
        <w:pStyle w:val="TextBody"/>
        <w:bidi w:val="0"/>
        <w:spacing w:before="200" w:after="200"/>
        <w:jc w:val="both"/>
        <w:rPr/>
      </w:pPr>
      <w:r>
        <w:rPr/>
        <w:t>We are not qualified to practice law in the United States of America. We are solicitors qualified to practice law in the Province of Ontario only and we express no opinion as to the laws of any jurisdiction, or as to any matters governed by the laws of any jurisdiction, other than the laws of the Province of Ontario and the laws of Canada applicable therein. Our opinion herein is based on the laws of the Province of Ontario and the laws of Canada applicable therein (and the interpretation thereof) as such laws are in effect and are construed as of the date hereof (the "</w:t>
      </w:r>
      <w:r>
        <w:rPr>
          <w:b/>
        </w:rPr>
        <w:t>Effective Date</w:t>
      </w:r>
      <w:r>
        <w:rPr/>
        <w:t>"). Our opinion herein does not take into account any proposed rules or legislative changes that may come into force following the Effective Date and we disclaim any obligation or undertaking to update our opinion or advise any person of any change in law or fact that may come to our attention after the Effective Date.</w:t>
      </w:r>
    </w:p>
    <w:p>
      <w:pPr>
        <w:pStyle w:val="TextBody"/>
        <w:bidi w:val="0"/>
        <w:spacing w:before="200" w:after="200"/>
        <w:jc w:val="both"/>
        <w:rPr/>
      </w:pPr>
      <w:r>
        <w:rPr/>
        <w:t>Based and relying upon the foregoing, we are of the opinion that as at the date hereof, the Shares, when sold pursuant to the Sales Agreement and issued in accordance with the Prospectus, consideration in full having been received by the Company for such Shares, all other conditions, as required by the Sales Agreement, having been satisfied, and with the passing of all necessary corporate resolutions, such Shares will be validly issued as fully paid and non-assessable common shares in the capital of the Company.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The above opinion is rendered solely in connection with the transactions described above and may not be used, circulated, quoted from or otherwise referred to for any other purpose without our prior written consent. Further, the above opinion is limited to the matters stated herein, and no opinion or belief is implied or should be inferred beyond the matters expressly stated herein. For greater certainty, we express no opinion as to matters of tax or as to the contents of, or the disclosure in, the Registration Statement or the Prospectus, or whether the Registration Statement or the Prospectus provides full, true and plain disclosure of all material facts relating to the Company within the meaning of applicable securities laws.</w:t>
      </w:r>
    </w:p>
    <w:p>
      <w:pPr>
        <w:pStyle w:val="TextBody"/>
        <w:bidi w:val="0"/>
        <w:spacing w:before="200" w:after="200"/>
        <w:jc w:val="both"/>
        <w:rPr/>
      </w:pPr>
      <w:r>
        <w:rPr/>
        <w:t>We hereby consent to the filing of this opinion as an exhibit to the Registration Statement and to the reference to our firm appearing under the caption "Legal Matters" in the Prospectus. In giving this consent, we do not admit that we are within the category of persons whose consent is required under the US Securities Act or the Rules. This opinion may not be quoted from or referred to in any documents other than the Registration Statement as provided for herein without our prior written consent.</w:t>
      </w:r>
    </w:p>
    <w:p>
      <w:pPr>
        <w:pStyle w:val="TextBody"/>
        <w:bidi w:val="0"/>
        <w:spacing w:before="200" w:after="200"/>
        <w:jc w:val="both"/>
        <w:rPr/>
      </w:pPr>
      <w:r>
        <w:rPr/>
        <w:t>Yours truly,</w:t>
      </w:r>
    </w:p>
    <w:p>
      <w:pPr>
        <w:pStyle w:val="TextBody"/>
        <w:bidi w:val="0"/>
        <w:spacing w:before="200" w:after="200"/>
        <w:jc w:val="both"/>
        <w:rPr>
          <w:i/>
        </w:rPr>
      </w:pPr>
      <w:r>
        <w:rPr>
          <w:i/>
        </w:rPr>
        <w:t>"DuMoulin Black LLP"</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12" w:name="exhibit10-1.htm"/>
      <w:bookmarkStart w:id="13" w:name="ksexhibit101"/>
      <w:bookmarkStart w:id="14" w:name="exhibit10-1.htm"/>
      <w:bookmarkStart w:id="15" w:name="ksexhibit101"/>
      <w:bookmarkEnd w:id="14"/>
      <w:bookmarkEnd w:id="15"/>
      <w:r>
        <w:br w:type="page"/>
      </w:r>
    </w:p>
    <w:p>
      <w:pPr>
        <w:pStyle w:val="TextBody"/>
        <w:bidi w:val="0"/>
        <w:spacing w:before="200" w:after="200"/>
        <w:jc w:val="center"/>
        <w:rPr>
          <w:b/>
        </w:rPr>
      </w:pPr>
      <w:bookmarkStart w:id="16" w:name="page_12"/>
      <w:bookmarkEnd w:id="16"/>
      <w:r>
        <w:rPr>
          <w:b/>
        </w:rPr>
        <w:t>SPHERE 3D CORP.</w:t>
      </w:r>
    </w:p>
    <w:p>
      <w:pPr>
        <w:pStyle w:val="TextBody"/>
        <w:bidi w:val="0"/>
        <w:spacing w:before="200" w:after="200"/>
        <w:jc w:val="center"/>
        <w:rPr>
          <w:b/>
        </w:rPr>
      </w:pPr>
      <w:r>
        <w:rPr>
          <w:b/>
        </w:rPr>
        <w:t>COMMON SHARES</w:t>
      </w:r>
    </w:p>
    <w:p>
      <w:pPr>
        <w:pStyle w:val="TextBody"/>
        <w:bidi w:val="0"/>
        <w:spacing w:before="200" w:after="200"/>
        <w:jc w:val="center"/>
        <w:rPr>
          <w:b/>
          <w:u w:val="single"/>
        </w:rPr>
      </w:pPr>
      <w:r>
        <w:rPr>
          <w:b/>
          <w:u w:val="single"/>
        </w:rPr>
        <w:t>AMENDED AND RESTATED SALES AGREEMENT</w:t>
      </w:r>
    </w:p>
    <w:p>
      <w:pPr>
        <w:pStyle w:val="TextBody"/>
        <w:bidi w:val="0"/>
        <w:spacing w:before="200" w:after="200"/>
        <w:jc w:val="right"/>
        <w:rPr/>
      </w:pPr>
      <w:r>
        <w:rPr/>
        <w:t>July 31, 2026</w:t>
      </w:r>
    </w:p>
    <w:p>
      <w:pPr>
        <w:pStyle w:val="TextBody"/>
        <w:bidi w:val="0"/>
        <w:spacing w:before="200" w:after="0"/>
        <w:jc w:val="both"/>
        <w:rPr/>
      </w:pPr>
      <w:r>
        <w:rPr/>
        <w:t>A.G.P./Alliance Global Partners</w:t>
      </w:r>
    </w:p>
    <w:p>
      <w:pPr>
        <w:pStyle w:val="TextBody"/>
        <w:bidi w:val="0"/>
        <w:spacing w:before="0" w:after="0"/>
        <w:jc w:val="both"/>
        <w:rPr/>
      </w:pPr>
      <w:r>
        <w:rPr/>
        <w:t>590 Madison Avenue, 28</w:t>
      </w:r>
      <w:r>
        <w:rPr>
          <w:position w:val="8"/>
          <w:sz w:val="19"/>
        </w:rPr>
        <w:t>th</w:t>
      </w:r>
      <w:r>
        <w:rPr/>
        <w:t xml:space="preserve"> Floor</w:t>
      </w:r>
    </w:p>
    <w:p>
      <w:pPr>
        <w:pStyle w:val="TextBody"/>
        <w:bidi w:val="0"/>
        <w:spacing w:before="0" w:after="200"/>
        <w:jc w:val="both"/>
        <w:rPr/>
      </w:pPr>
      <w:r>
        <w:rPr/>
        <w:t>New York, NY 10022</w:t>
      </w:r>
    </w:p>
    <w:p>
      <w:pPr>
        <w:pStyle w:val="TextBody"/>
        <w:bidi w:val="0"/>
        <w:spacing w:before="200" w:after="0"/>
        <w:jc w:val="both"/>
        <w:rPr/>
      </w:pPr>
      <w:r>
        <w:rPr/>
        <w:t>Maxim Group LLC</w:t>
      </w:r>
    </w:p>
    <w:p>
      <w:pPr>
        <w:pStyle w:val="TextBody"/>
        <w:bidi w:val="0"/>
        <w:spacing w:before="0" w:after="0"/>
        <w:jc w:val="both"/>
        <w:rPr/>
      </w:pPr>
      <w:r>
        <w:rPr/>
        <w:t>300 Park Avenue</w:t>
      </w:r>
    </w:p>
    <w:p>
      <w:pPr>
        <w:pStyle w:val="TextBody"/>
        <w:bidi w:val="0"/>
        <w:spacing w:before="0" w:after="200"/>
        <w:jc w:val="both"/>
        <w:rPr/>
      </w:pPr>
      <w:r>
        <w:rPr/>
        <w:t>New York, NY 10022</w:t>
      </w:r>
    </w:p>
    <w:p>
      <w:pPr>
        <w:pStyle w:val="TextBody"/>
        <w:bidi w:val="0"/>
        <w:spacing w:before="200" w:after="200"/>
        <w:jc w:val="both"/>
        <w:rPr/>
      </w:pPr>
      <w:r>
        <w:rPr/>
        <w:t>Ladies and Gentlemen:</w:t>
      </w:r>
    </w:p>
    <w:p>
      <w:pPr>
        <w:pStyle w:val="TextBody"/>
        <w:bidi w:val="0"/>
        <w:spacing w:before="200" w:after="200"/>
        <w:ind w:left="0" w:right="0" w:firstLine="720"/>
        <w:jc w:val="both"/>
        <w:rPr/>
      </w:pPr>
      <w:r>
        <w:rPr/>
        <w:t xml:space="preserve">Sphere 3D Corp., a company amalgamated under the </w:t>
      </w:r>
      <w:r>
        <w:rPr>
          <w:i/>
        </w:rPr>
        <w:t xml:space="preserve">Business Corporations Act </w:t>
      </w:r>
      <w:r>
        <w:rPr/>
        <w:t>(Ontario) (the "</w:t>
      </w:r>
      <w:r>
        <w:rPr>
          <w:b/>
          <w:u w:val="single"/>
        </w:rPr>
        <w:t>Company</w:t>
      </w:r>
      <w:r>
        <w:rPr/>
        <w:t>"), and A.G.P./Alliance Global Partners ("</w:t>
      </w:r>
      <w:r>
        <w:rPr>
          <w:b/>
          <w:u w:val="single"/>
        </w:rPr>
        <w:t>A.G.P.</w:t>
      </w:r>
      <w:r>
        <w:rPr/>
        <w:t>") are parties to that certain Sales Agreement, dated January 3, 2025 (the "</w:t>
      </w:r>
      <w:r>
        <w:rPr>
          <w:b/>
          <w:u w:val="single"/>
        </w:rPr>
        <w:t>Original Sales Agreement</w:t>
      </w:r>
      <w:r>
        <w:rPr/>
        <w:t>"). The Company and A.G.P., together with Maxim Group LLC ("</w:t>
      </w:r>
      <w:r>
        <w:rPr>
          <w:b/>
          <w:u w:val="single"/>
        </w:rPr>
        <w:t>Maxim</w:t>
      </w:r>
      <w:r>
        <w:rPr/>
        <w:t>"), desire to amend and restate the Original Sales Agreement pursuant to this agreement (this "</w:t>
      </w:r>
      <w:r>
        <w:rPr>
          <w:b/>
          <w:u w:val="single"/>
        </w:rPr>
        <w:t>Agreement</w:t>
      </w:r>
      <w:r>
        <w:rPr/>
        <w:t>"), and hereby agree as follows:</w:t>
      </w:r>
    </w:p>
    <w:p>
      <w:pPr>
        <w:pStyle w:val="TextBody"/>
        <w:bidi w:val="0"/>
        <w:spacing w:before="200" w:after="200"/>
        <w:ind w:left="0" w:right="0" w:firstLine="720"/>
        <w:jc w:val="both"/>
        <w:rPr/>
      </w:pPr>
      <w:r>
        <w:rPr/>
        <w:t>Each of A.G.P. and Maxim is referred to herein individually as a "</w:t>
      </w:r>
      <w:r>
        <w:rPr>
          <w:b/>
          <w:u w:val="single"/>
        </w:rPr>
        <w:t>Sales Agent</w:t>
      </w:r>
      <w:r>
        <w:rPr/>
        <w:t>" and collectively as the "</w:t>
      </w:r>
      <w:r>
        <w:rPr>
          <w:b/>
          <w:u w:val="single"/>
        </w:rPr>
        <w:t>Sales Agents</w:t>
      </w:r>
      <w:r>
        <w:rPr/>
        <w:t>."</w:t>
      </w:r>
    </w:p>
    <w:p>
      <w:pPr>
        <w:pStyle w:val="TextBody"/>
        <w:bidi w:val="0"/>
        <w:spacing w:before="200" w:after="200"/>
        <w:ind w:left="0" w:right="0" w:firstLine="720"/>
        <w:jc w:val="both"/>
        <w:rPr/>
      </w:pPr>
      <w:r>
        <w:rPr/>
        <w:t xml:space="preserve">1. </w:t>
      </w:r>
      <w:r>
        <w:rPr>
          <w:u w:val="single"/>
        </w:rPr>
        <w:t>Issuance and Sale of Shares</w:t>
      </w:r>
      <w:r>
        <w:rPr/>
        <w:t>. The Company agrees that, from time to time during the term of this Agreement, on the terms and subject to the conditions set forth herein, it may issue and sell to or through the Sales Agents shares of the Company's common shares, no par value (the "</w:t>
      </w:r>
      <w:r>
        <w:rPr>
          <w:b/>
          <w:u w:val="single"/>
        </w:rPr>
        <w:t>Common Shares</w:t>
      </w:r>
      <w:r>
        <w:rPr/>
        <w:t>"), subject to the limitations set forth in Section 3(b) hereof. The issuance and sale of Common Shares to or through the Sales Agents will be effected pursuant to the Registration Statement (as defined below) filed by the Company and which was declared effective under the Securities Act (as defined below) by the U.S. Securities and Exchange Commission (the "</w:t>
      </w:r>
      <w:r>
        <w:rPr>
          <w:b/>
          <w:u w:val="single"/>
        </w:rPr>
        <w:t>Commission</w:t>
      </w:r>
      <w:r>
        <w:rPr/>
        <w:t>").</w:t>
      </w:r>
    </w:p>
    <w:p>
      <w:pPr>
        <w:pStyle w:val="TextBody"/>
        <w:bidi w:val="0"/>
        <w:spacing w:before="200" w:after="200"/>
        <w:ind w:left="0" w:right="0" w:firstLine="720"/>
        <w:jc w:val="both"/>
        <w:rPr/>
      </w:pPr>
      <w:r>
        <w:rPr/>
        <w:t>The Company has filed, in accordance with the provisions of the Securities Act of 1933, as amended, and the rules and regulations thereunder (collectively, the "</w:t>
      </w:r>
      <w:r>
        <w:rPr>
          <w:b/>
          <w:u w:val="single"/>
        </w:rPr>
        <w:t>Securities Act</w:t>
      </w:r>
      <w:r>
        <w:rPr/>
        <w:t>"), with the Commission, not earlier than three years prior to the date hereof, a shelf registration statement on Form S-3 (File No. 333-269663) (the "</w:t>
      </w:r>
      <w:r>
        <w:rPr>
          <w:b/>
          <w:u w:val="single"/>
        </w:rPr>
        <w:t>Shelf Registration Statement</w:t>
      </w:r>
      <w:r>
        <w:rPr/>
        <w:t>"), including a base prospectus, relating to certain securities, including the Common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b/>
          <w:u w:val="single"/>
        </w:rPr>
        <w:t>Exchange Act</w:t>
      </w:r>
      <w:r>
        <w:rPr/>
        <w:t>"). The Company has prepared a prospectus supplement, which is included in the Shelf Registration Statement, specifically relating to the offering of Common Shares pursuant to this Agreement (the "</w:t>
      </w:r>
      <w:r>
        <w:rPr>
          <w:b/>
          <w:u w:val="single"/>
        </w:rPr>
        <w:t>ATM Prospectus</w:t>
      </w:r>
      <w:r>
        <w:rPr/>
        <w:t>"). The Company will furnish to the Sales Agents, for use by the Sales Agents, copies of the base prospectus included as part of such registration statement at the time it became effective, as supplemented by the ATM Prospectus relating to the Placement Shares (as defined below). Except where the context otherwise requires, such registration statement, as amended at the time of such registration statement's effectiveness for purposes of Section 11 of the Securities Act, including all documents filed as a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is herein called the "</w:t>
      </w:r>
      <w:r>
        <w:rPr>
          <w:b/>
          <w:u w:val="single"/>
        </w:rPr>
        <w:t>Registration Statement</w:t>
      </w:r>
      <w:r>
        <w:rPr/>
        <w:t>." The base prospectus, including all documents incorporated therein by reference (to the extent such information has not been superseded or modified in accordance with Rule 412 under the Securities Act (as qualified by Rule 430B(g) of the Securities Act)), and the ATM Prospectus, including all documents incorporated therein by reference (to the extent such information has not been superseded or modified in accordance with Rule 412 under the Securities Act (as qualified by Rule 430B(g) of the Securities Act)), each of which is included in the Registration Statement, as it or they may be supplemented from time to time by any additional prospectus supplement, in the form in which such prospectus and/or ATM Prospectus have most recently been filed by the Company with the Commission pursuant to Rule 424(b) under the Securities Act, together with any "issuer free writing prospectus" ("</w:t>
      </w:r>
      <w:r>
        <w:rPr>
          <w:b/>
          <w:u w:val="single"/>
        </w:rPr>
        <w:t>Issuer Free Writing Prospectus</w:t>
      </w:r>
      <w:r>
        <w:rPr/>
        <w:t>"), as defined in Rule 433 of the Securities Act ("</w:t>
      </w:r>
      <w:r>
        <w:rPr>
          <w:b/>
          <w:u w:val="single"/>
        </w:rPr>
        <w:t>Rule 433</w:t>
      </w:r>
      <w:r>
        <w:rPr/>
        <w:t>"), relating to the Placement Shares (as defined below)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b/>
          <w:u w:val="single"/>
        </w:rPr>
        <w:t>Prospectus</w:t>
      </w:r>
      <w:r>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either the Electronic Data Gathering Analysis and Retrieval System, or if applicable, the Interactive Data Electronic Applications (collectively "</w:t>
      </w:r>
      <w:r>
        <w:rPr>
          <w:b/>
          <w:u w:val="single"/>
        </w:rPr>
        <w:t>EDGAR</w:t>
      </w:r>
      <w:r>
        <w:rPr/>
        <w:t>").</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17" w:name="page_21"/>
      <w:bookmarkEnd w:id="17"/>
      <w:r>
        <w:rPr/>
        <w:t xml:space="preserve">2. </w:t>
      </w:r>
      <w:r>
        <w:rPr>
          <w:u w:val="single"/>
        </w:rPr>
        <w:t>Placements</w:t>
      </w:r>
      <w:r>
        <w:rPr/>
        <w:t>. Each time that the Company wishes to issue and sell Common Shares through the Sales Agents, as agent, hereunder (each, a "</w:t>
      </w:r>
      <w:r>
        <w:rPr>
          <w:b/>
          <w:u w:val="single"/>
        </w:rPr>
        <w:t>Placement</w:t>
      </w:r>
      <w:r>
        <w:rPr/>
        <w:t>"), it will notify one of the Sale Agents (the "</w:t>
      </w:r>
      <w:r>
        <w:rPr>
          <w:b/>
          <w:u w:val="single"/>
        </w:rPr>
        <w:t>Designated Sales Agent</w:t>
      </w:r>
      <w:r>
        <w:rPr/>
        <w:t>") by e-mail notice (or other method mutually agreed to in writing by the parties) (a "</w:t>
      </w:r>
      <w:r>
        <w:rPr>
          <w:b/>
          <w:u w:val="single"/>
        </w:rPr>
        <w:t>Placement Notice</w:t>
      </w:r>
      <w:r>
        <w:rPr/>
        <w:t>") containing the parameters in accordance with which it desires the Common Shares to be sold, which shall at a minimum include the number of Common Shares to be issued (the "</w:t>
      </w:r>
      <w:r>
        <w:rPr>
          <w:b/>
          <w:u w:val="single"/>
        </w:rPr>
        <w:t>Placement Shares</w:t>
      </w:r>
      <w:r>
        <w:rPr/>
        <w:t xml:space="preserve">"), the time period during which sales are requested to be made, any limitation on the number of Common Shares that may be sold in any one Trading Day (as defined in Section 3) and any minimum price below which sales may not be made, a form of which containing such minimum sales parameters necessary is attached hereto as </w:t>
      </w:r>
      <w:r>
        <w:rPr>
          <w:b/>
        </w:rPr>
        <w:t>Schedule 1</w:t>
      </w:r>
      <w:r>
        <w:rPr/>
        <w:t xml:space="preserve">. The Placement Notice shall originate from any of the individuals from the Company set forth on </w:t>
      </w:r>
      <w:r>
        <w:rPr>
          <w:b/>
        </w:rPr>
        <w:t>Schedule 2</w:t>
      </w:r>
      <w:r>
        <w:rPr/>
        <w:t xml:space="preserve"> (with a copy to each of the other individuals from the Company listed on such schedule) and shall be addressed to each of the individuals from the Designated Sales Agent set forth on </w:t>
      </w:r>
      <w:r>
        <w:rPr>
          <w:b/>
        </w:rPr>
        <w:t>Schedule 2</w:t>
      </w:r>
      <w:r>
        <w:rPr/>
        <w:t xml:space="preserve">, as such </w:t>
      </w:r>
      <w:r>
        <w:rPr>
          <w:b/>
        </w:rPr>
        <w:t>Schedule 2</w:t>
      </w:r>
      <w:r>
        <w:rPr/>
        <w:t xml:space="preserve"> may be amended from time to time. The Placement Notice shall be effective upon receipt by the Designated Sales Agent unless and until (i) in accordance with the notice requirements set forth in Section 4, the Designated Sales Agent declines to accept the terms contained therein for any reason, in its sole discretion, (ii) the entire amount of the Placement Shares have been sold, (iii) in accordance with the notice requirements set forth in Section 4, the Company suspends or terminates the Placement Notice, (iv) the Company issues a subsequent Placement Notice with parameters superseding those on the earlier dated Placement Notice, or (v) the Agreement has been terminated under the provisions of Section 11. The amount of any discount, commission or other compensation to be paid by the Company to the Designated Sales Agent in connection with the sale of the Placement Shares through the Designated Sales Agent, as agent, shall be as set forth in </w:t>
      </w:r>
      <w:r>
        <w:rPr>
          <w:b/>
        </w:rPr>
        <w:t>Schedule 3</w:t>
      </w:r>
      <w:r>
        <w:rPr/>
        <w:t>. It is expressly acknowledged and agreed that neither the Company nor the Designated Sales Agent will have any obligation whatsoever with respect to a Placement or any Placement Shares unless and until the Company delivers a Placement Notice to the Designated Sales Agent and the Designated Sales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before="200" w:after="200"/>
        <w:ind w:left="0" w:right="0" w:firstLine="720"/>
        <w:jc w:val="both"/>
        <w:rPr/>
      </w:pPr>
      <w:r>
        <w:rPr/>
        <w:t xml:space="preserve">3. </w:t>
      </w:r>
      <w:r>
        <w:rPr>
          <w:u w:val="single"/>
        </w:rPr>
        <w:t>Sale of Placement Shares by the Sales Agents.</w:t>
      </w:r>
    </w:p>
    <w:p>
      <w:pPr>
        <w:pStyle w:val="TextBody"/>
        <w:bidi w:val="0"/>
        <w:spacing w:before="200" w:after="200"/>
        <w:ind w:left="0" w:right="0" w:firstLine="720"/>
        <w:jc w:val="both"/>
        <w:rPr/>
      </w:pPr>
      <w:r>
        <w:rPr/>
        <w:t>(a) Subject to the terms and conditions set forth herein, upon the Company's issuance of a Placement Notice, and unless the sale of the Placement Shares described therein has been declined, suspended, or otherwise terminated in accordance with the terms of this Agreement, the Designated Sales Agent, as agent for the Company, will use its commercially reasonable efforts consistent with its normal trading and sales practices and applicable state and federal laws, rules and regulations and the rules of The Nasdaq Capital Market (the "</w:t>
      </w:r>
      <w:r>
        <w:rPr>
          <w:b/>
          <w:u w:val="single"/>
        </w:rPr>
        <w:t>Exchange</w:t>
      </w:r>
      <w:r>
        <w:rPr/>
        <w:t xml:space="preserve">"), for the period specified in the Placement Notice, to sell such Placement Shares up to the amount specified by the Company in, and otherwise in accordance with, the terms of such Placement Notice. If acting as agent hereunder, the Designated Sales Agent will provide written confirmation to the Company (including by e-mail correspondence to each of the individuals of the Company set forth on </w:t>
      </w:r>
      <w:r>
        <w:rPr>
          <w:b/>
          <w:u w:val="single"/>
        </w:rPr>
        <w:t>Schedule 2</w:t>
      </w:r>
      <w:r>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the compensation payable by the Company to the Designated Sales Agent pursuant to </w:t>
      </w:r>
      <w:r>
        <w:rPr>
          <w:u w:val="single"/>
        </w:rPr>
        <w:t>Section 2</w:t>
      </w:r>
      <w:r>
        <w:rPr/>
        <w:t xml:space="preserve"> with respect to such sales, and the Net Proceeds (as defined below) payable to the Company, with an itemization of the deductions made by the Designated Sales Agent (as set forth in </w:t>
      </w:r>
      <w:r>
        <w:rPr>
          <w:u w:val="single"/>
        </w:rPr>
        <w:t>Section 5(a)</w:t>
      </w:r>
      <w:r>
        <w:rPr/>
        <w:t>) from the gross proceeds that it receives from such sales. Subject to the terms of the Placement Notice, the Designated Sales Agent may sell Placement Shares by any method permitted by law deemed to be an "at the market" offering as defined in Rule 415 under the Securities Act, including without limitation sales made directly on the Exchange, on any other existing trading market for the Common Shares or to or through a market maker. Subject to the terms of a Placement Notice, the Designated Sales Agent may also sell Placement Shares by any other method permitted by law, including but not limited to in negotiated transactions with the Company's prior written consent. The Company acknowledges and agrees that (i) there can be no assurance that the Designated Sales Agent will be successful in selling Placement Shares, (ii) the Designated Sales Agent will incur no liability or obligation to the Company or any other person or entity if it does not sell Placement Shares for any reason other than a failure by the Designated Sales Agent to use its commercially reasonable efforts consistent with its normal trading and sales practices and applicable law and regulations to sell such Placement Shares as required under this Agreement and (iii) the Designated Sales Agent shall be under no obligation to purchase Placement Shares on a principal basis pursuant to this Agreement, except as otherwise agreed by the Designated Sales Agent and the Company in writing and expressly set forth in a Placement Notice. For the purposes hereof, "</w:t>
      </w:r>
      <w:r>
        <w:rPr>
          <w:b/>
          <w:u w:val="single"/>
        </w:rPr>
        <w:t>Trading Day</w:t>
      </w:r>
      <w:r>
        <w:rPr/>
        <w:t>" means any day on which the Company's Common Shares are purchased and sold on the principal market on which the Common Shares are listed or quoted.</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18" w:name="page_31"/>
      <w:bookmarkEnd w:id="18"/>
      <w:r>
        <w:rPr/>
        <w:t xml:space="preserve">(b)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Shares registered pursuant to the Registration Statement pursuant to which the offering hereunder is being made, (ii) the number of authorized but unissued and unreserved Common Shares, (iii) the number or dollar amount of Common Shares permitted to be offered and sold by the Company under Form S-3 (including General Instruction I.B.6 of Form S-3, if and for so long as applicable), (iv) the number or dollar amount of Common Shares authorized from time to time to be issued and sold under this Agreement by the Company's board of directors, a duly authorized committee thereof or a duly authorized executive committee, and notified to the Designated Sales Agent in writing, or (v) the number or dollar amount of Common Shares for which the Company has filed the ATM Prospectus or other prospectus supplement specifically relating to the offering of the Placement Shares pursuant to this Agreement.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Designated Sales Agent in writing. Notwithstanding anything to the contrary contained herein, the parties hereto acknowledge and agree that compliance with the limitations set forth in this </w:t>
      </w:r>
      <w:r>
        <w:rPr>
          <w:u w:val="single"/>
        </w:rPr>
        <w:t>Section 3(b)</w:t>
      </w:r>
      <w:r>
        <w:rPr/>
        <w:t xml:space="preserve"> on the number or dollar amount of Placement Shares that may be issued and sold under this Agreement from time to time shall be the sole responsibility of the Company, and that the Designated Sales Agent shall have no obligation in connection with such compliance.</w:t>
      </w:r>
    </w:p>
    <w:p>
      <w:pPr>
        <w:pStyle w:val="TextBody"/>
        <w:bidi w:val="0"/>
        <w:spacing w:before="200" w:after="200"/>
        <w:ind w:left="0" w:right="0" w:firstLine="720"/>
        <w:jc w:val="both"/>
        <w:rPr/>
      </w:pPr>
      <w:r>
        <w:rPr/>
        <w:t>(c) During the term of this Agreement, neither the Sales Agents nor any of their affiliates or subsidiaries shall engage in (i) any short sale of any security of the Company or (ii) any sale of any security of the Company that the Sales Agents do not own or any sale that is consummated by the delivery of a security of the Company borrowed by, or for the account of, the Sales Agents. During the term of this Agreement and notwithstanding anything to the contrary herein, the Sales Agents agree that in no event will the Sales Agents or their affiliates engage in any market making, bidding, stabilization or other trading activity with regard to the Common Shares or related derivative securities if such activity would be prohibited under Regulation M or other anti-manipulation rules under the Exchange Act.</w:t>
      </w:r>
    </w:p>
    <w:p>
      <w:pPr>
        <w:pStyle w:val="TextBody"/>
        <w:bidi w:val="0"/>
        <w:spacing w:before="200" w:after="200"/>
        <w:ind w:left="0" w:right="0" w:firstLine="720"/>
        <w:jc w:val="both"/>
        <w:rPr/>
      </w:pPr>
      <w:r>
        <w:rPr/>
        <w:t xml:space="preserve">4. </w:t>
      </w:r>
      <w:r>
        <w:rPr>
          <w:u w:val="single"/>
        </w:rPr>
        <w:t>Suspension of Sales.</w:t>
      </w:r>
    </w:p>
    <w:p>
      <w:pPr>
        <w:pStyle w:val="TextBody"/>
        <w:bidi w:val="0"/>
        <w:spacing w:before="200" w:after="200"/>
        <w:ind w:left="0" w:right="0" w:firstLine="720"/>
        <w:jc w:val="both"/>
        <w:rPr/>
      </w:pPr>
      <w:r>
        <w:rPr/>
        <w:t xml:space="preserve">(a) The Company or the Designated Sales Agent may, upon notice to the other party in writing (including by e-mail correspondence to each of the individuals of the other party set forth on </w:t>
      </w:r>
      <w:r>
        <w:rPr>
          <w:b/>
          <w:u w:val="single"/>
        </w:rPr>
        <w:t>Schedule 2</w:t>
      </w:r>
      <w:r>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b/>
          <w:u w:val="single"/>
        </w:rPr>
        <w:t>Schedule 2</w:t>
      </w:r>
      <w:r>
        <w:rPr/>
        <w:t>), suspend any sale of Placement Shares for a period of time (a "</w:t>
      </w:r>
      <w:r>
        <w:rPr>
          <w:b/>
          <w:u w:val="single"/>
        </w:rPr>
        <w:t>Suspension Period</w:t>
      </w:r>
      <w:r>
        <w:rPr/>
        <w:t xml:space="preserve">"); </w:t>
      </w:r>
      <w:r>
        <w:rPr>
          <w:i/>
        </w:rPr>
        <w:t>provided</w:t>
      </w:r>
      <w:r>
        <w:rPr/>
        <w:t xml:space="preserve">, </w:t>
      </w:r>
      <w:r>
        <w:rPr>
          <w:i/>
        </w:rPr>
        <w:t>however</w:t>
      </w:r>
      <w:r>
        <w:rPr/>
        <w:t xml:space="preserve">, that such suspension shall not affect or impair either party's obligations with respect to any Placement Shares sold hereunder prior to the receipt of such notice. Each of the parties hereto agrees that no such notice under this </w:t>
      </w:r>
      <w:r>
        <w:rPr>
          <w:u w:val="single"/>
        </w:rPr>
        <w:t>Section 4</w:t>
      </w:r>
      <w:r>
        <w:rPr/>
        <w:t xml:space="preserve"> shall be effective against the other unless it is made to one of the individuals named on </w:t>
      </w:r>
      <w:r>
        <w:rPr>
          <w:b/>
          <w:u w:val="single"/>
        </w:rPr>
        <w:t>Schedule 2</w:t>
      </w:r>
      <w:r>
        <w:rPr/>
        <w:t xml:space="preserve"> hereto, as such schedule may be amended from time to time. During a Suspension Period, the Company shall not issue any Placement Notices and the Designated Sales Agent shall not sell any Placement Shares hereunder. The party that issued a suspension notice shall notify the other party in writing of the Trading Day on which the Suspension Period shall expire not later than twenty-four (24) hours prior to such Trading Day.</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19" w:name="page_4"/>
      <w:bookmarkEnd w:id="19"/>
      <w:r>
        <w:rPr/>
        <w:t>(b) Notwithstanding any other provision of this Agreement, during any period in which the Company is in possession of material non-public information, the Company and the Designated Sales Agent agree that (i) no sale of Placement Shares will take place, (ii) the Company shall not request the sale of any Placement Shares, and (iii) the Designated Sales Agent shall not be obligated to sell or offer to sell any Placement Shares.</w:t>
      </w:r>
    </w:p>
    <w:p>
      <w:pPr>
        <w:pStyle w:val="TextBody"/>
        <w:bidi w:val="0"/>
        <w:spacing w:before="200" w:after="200"/>
        <w:ind w:left="0" w:right="0" w:firstLine="720"/>
        <w:jc w:val="both"/>
        <w:rPr/>
      </w:pPr>
      <w:r>
        <w:rPr/>
        <w:t xml:space="preserve">5. </w:t>
      </w:r>
      <w:r>
        <w:rPr>
          <w:u w:val="single"/>
        </w:rPr>
        <w:t>Settlement.</w:t>
      </w:r>
    </w:p>
    <w:p>
      <w:pPr>
        <w:pStyle w:val="TextBody"/>
        <w:bidi w:val="0"/>
        <w:spacing w:before="200" w:after="200"/>
        <w:ind w:left="0" w:right="0" w:firstLine="720"/>
        <w:jc w:val="both"/>
        <w:rPr/>
      </w:pPr>
      <w:r>
        <w:rPr/>
        <w:t xml:space="preserve">(a) </w:t>
      </w:r>
      <w:r>
        <w:rPr>
          <w:u w:val="single"/>
        </w:rPr>
        <w:t>Settlement of Placement Shares</w:t>
      </w:r>
      <w:r>
        <w:rPr/>
        <w:t>. Unless otherwise specified in the applicable Placement Notice, settlement for sales of Placement Shares will occur on the first (1</w:t>
      </w:r>
      <w:r>
        <w:rPr>
          <w:position w:val="8"/>
          <w:sz w:val="19"/>
        </w:rPr>
        <w:t>st</w:t>
      </w:r>
      <w:r>
        <w:rPr/>
        <w:t>) Trading Day (or such earlier day as is industry practice for regular-way trading) following the respective Point of Sale (as defined below) (each, a "</w:t>
      </w:r>
      <w:r>
        <w:rPr>
          <w:b/>
          <w:u w:val="single"/>
        </w:rPr>
        <w:t>Settlement Date</w:t>
      </w:r>
      <w:r>
        <w:rPr/>
        <w:t>"). The amount of proceeds to be delivered to the Company on a Settlement Date against receipt of the Placement Shares sold (the "</w:t>
      </w:r>
      <w:r>
        <w:rPr>
          <w:b/>
          <w:u w:val="single"/>
        </w:rPr>
        <w:t>Net Proceeds</w:t>
      </w:r>
      <w:r>
        <w:rPr/>
        <w:t xml:space="preserve">") will be equal to the aggregate sales price received by the Designated Sales Agent at which such Placement Shares were sold, after deduction for (i) the Designated Sales Agent's discount, commission or other compensation for such sales payable by the Company pursuant to </w:t>
      </w:r>
      <w:r>
        <w:rPr>
          <w:u w:val="single"/>
        </w:rPr>
        <w:t>Section 2</w:t>
      </w:r>
      <w:r>
        <w:rPr/>
        <w:t xml:space="preserve"> hereof, (ii) any other amounts due and payable by the Company to the Designated Sales Agent hereunder pursuant to Section 7(g) (Expenses) hereof and (iii) any transaction fees, trading expenses or execution fees imposed by any clearing organization or any governmental or self-regulatory organization and any other fees incurred by the Designated Sales Agent in respect of such sales.</w:t>
      </w:r>
    </w:p>
    <w:p>
      <w:pPr>
        <w:pStyle w:val="TextBody"/>
        <w:bidi w:val="0"/>
        <w:spacing w:before="200" w:after="200"/>
        <w:ind w:left="0" w:right="0" w:firstLine="720"/>
        <w:jc w:val="both"/>
        <w:rPr/>
      </w:pPr>
      <w:r>
        <w:rPr/>
        <w:t xml:space="preserve">(b) </w:t>
      </w:r>
      <w:r>
        <w:rPr>
          <w:u w:val="single"/>
        </w:rPr>
        <w:t>Delivery of Placement Shares</w:t>
      </w:r>
      <w:r>
        <w:rPr/>
        <w:t xml:space="preserve">. On or before each Settlement Date, the Company will, or will cause its transfer agent to, electronically transfer the Placement Shares being sold by crediting the Designated Sales Agent's or its designee's account (provided the Designated Sales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Sales Agent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the Company agrees that in addition to and in no way limiting the rights and obligations set forth in </w:t>
      </w:r>
      <w:r>
        <w:rPr>
          <w:u w:val="single"/>
        </w:rPr>
        <w:t>Section 9(a)</w:t>
      </w:r>
      <w:r>
        <w:rPr/>
        <w:t xml:space="preserve"> (Indemnification and Contribution) hereto, the Company will (i) hold the Designated Sales Agent, its directors, officers, members, partners, employees and agents of the Designated Sales Agent, each broker dealer affiliate of the Designated Sales Agent, and each person, if any, who (A) controls the Designated Sales Agent within the meaning of Section 15 of the Securities Act or Section 20 of the Exchange Act or (B) is controlled by or is under common control with the Designated Sales Agent (each, a "</w:t>
      </w:r>
      <w:r>
        <w:rPr>
          <w:b/>
          <w:u w:val="single"/>
        </w:rPr>
        <w:t>Designated Sales Agent Affiliate</w:t>
      </w:r>
      <w:r>
        <w:rPr/>
        <w:t>"), and the Designated Sales Agent's clearing organization, harmless against any loss, claim, damage, or reasonable and documented expense (including reasonable legal fees and expenses), as incurred, arising out of or in connection with such default by the Company or its transfer agent (if applicable) and (ii) pay to the Designated Sales Agent any commission, discount, or other compensation to which it would otherwise have been entitled absent such default.</w:t>
      </w:r>
    </w:p>
    <w:p>
      <w:pPr>
        <w:pStyle w:val="TextBody"/>
        <w:bidi w:val="0"/>
        <w:spacing w:before="200" w:after="200"/>
        <w:ind w:left="0" w:right="0" w:firstLine="720"/>
        <w:jc w:val="both"/>
        <w:rPr/>
      </w:pPr>
      <w:r>
        <w:rPr/>
        <w:t xml:space="preserve">6. </w:t>
      </w:r>
      <w:r>
        <w:rPr>
          <w:u w:val="single"/>
        </w:rPr>
        <w:t>Representations and Warranties of the Company</w:t>
      </w:r>
      <w:r>
        <w:rPr/>
        <w:t>. The Company represents and warrants to, and agrees with, the Sales Agents that as of each Applicable Time (as defined in Section 22(a)), unless such representation, warranty or agreement specifies a different time or times:</w:t>
      </w:r>
    </w:p>
    <w:p>
      <w:pPr>
        <w:pStyle w:val="TextBody"/>
        <w:bidi w:val="0"/>
        <w:spacing w:before="200" w:after="200"/>
        <w:ind w:left="0" w:right="0" w:firstLine="720"/>
        <w:jc w:val="both"/>
        <w:rPr/>
      </w:pPr>
      <w:r>
        <w:rPr/>
        <w:t xml:space="preserve">(a) </w:t>
      </w:r>
      <w:r>
        <w:rPr>
          <w:u w:val="single"/>
        </w:rPr>
        <w:t>Compliance with Registration Requirements</w:t>
      </w:r>
      <w:r>
        <w:rPr/>
        <w:t>. The Registration Statement was declared effective by the Commission under the Securities Act on October 15, 2024 and the Company is and continues to be eligible to use such Form S-3.The Company has complied to the Commission's satisfaction with all requests of the Commission for additional or supplemental information related to the Registration Statement and the Prospectus.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 The Registration Statement and, assuming no act or omission on the part of the Sales Agents that would make such statements untrue, the offer and sale of the Placement Shares as contemplated hereby meet the requirements of Rule 415 under the Securities Act and comply in all material respects with said Rule. In the section entitled "Plan of Distribution" in the ATM Prospectus, the Company has named A.G.P./Alliance Global Partners and Maxim Group LLC as agents that the Company has engaged in connection with the transactions contemplated by this Agreement. The Company was not and is not an "ineligible issuer" as defined in Rule 405 under the Securities Act.</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0" w:name="page_5"/>
      <w:bookmarkEnd w:id="20"/>
      <w:r>
        <w:rPr/>
        <w:t xml:space="preserve">(b) </w:t>
      </w:r>
      <w:r>
        <w:rPr>
          <w:u w:val="single"/>
        </w:rPr>
        <w:t>No Misstatement or Omission</w:t>
      </w:r>
      <w:r>
        <w:rPr/>
        <w:t>. The Registration Statement and any post-effective amendment thereto, at the time it became or becomes effective, complied or will comply in all material respects with the Securities Act. The Prospectus, and any amendment or supplement thereto, on the date of such Prospectus or amendment or supplement, complied or will comply in all material respects with the Securities Act. The Registration Statement and any post-effective amendment thereto, at the time it became or becomes effective, did not and will not contain any untrue statement of a material fact or omit to state a material fact required to be stated therein or necessary to make the statements therein not misleading. The Prospectus, as amended or supplemented, as of its date, did not and, as of each Point of Sale and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or any post-effective amendment thereto, or the Prospectus, or any amendments or supplements thereto, made in reliance upon and in conformity with information relating to the Sales Agents furnished to the Company in writing by the Sales Agents expressly for use therein. "</w:t>
      </w:r>
      <w:r>
        <w:rPr>
          <w:b/>
          <w:u w:val="single"/>
        </w:rPr>
        <w:t>Point of Sale</w:t>
      </w:r>
      <w:r>
        <w:rPr/>
        <w:t>" means, for a Placement, the time at which an acquiror of Placement Shares entered into a contract, binding upon such acquiror, to acquire such Placement Shares.</w:t>
      </w:r>
    </w:p>
    <w:p>
      <w:pPr>
        <w:pStyle w:val="TextBody"/>
        <w:bidi w:val="0"/>
        <w:spacing w:before="200" w:after="200"/>
        <w:ind w:left="0" w:right="0" w:firstLine="720"/>
        <w:jc w:val="both"/>
        <w:rPr/>
      </w:pPr>
      <w:r>
        <w:rPr/>
        <w:t xml:space="preserve">(c) </w:t>
      </w:r>
      <w:r>
        <w:rPr>
          <w:u w:val="single"/>
        </w:rPr>
        <w:t>Offering Materials Furnished to the Sales Agents</w:t>
      </w:r>
      <w:r>
        <w:rPr/>
        <w:t>. Copies of the Registration Statement, the Prospectus, and all amendments or supplements thereto and all documents incorporated by reference therein that were filed with the Commission on or prior to the date of this Agreement, have been delivered, or are publicly available through EDGAR, to the Sales Agents. Each Prospectus delivered to the Sales Agents for use in connection with the sale of the Placement Shares pursuant to this Agreement will be identical to the version of such Prospectus filed with the Commission via EDGAR, except to the extent permitted by Regulation S-T.</w:t>
      </w:r>
    </w:p>
    <w:p>
      <w:pPr>
        <w:pStyle w:val="TextBody"/>
        <w:bidi w:val="0"/>
        <w:spacing w:before="200" w:after="200"/>
        <w:ind w:left="0" w:right="0" w:firstLine="720"/>
        <w:jc w:val="both"/>
        <w:rPr/>
      </w:pPr>
      <w:r>
        <w:rPr/>
        <w:t xml:space="preserve">(d) </w:t>
      </w:r>
      <w:r>
        <w:rPr>
          <w:u w:val="single"/>
        </w:rPr>
        <w:t>Distribution of Offering Material By the Company</w:t>
      </w:r>
      <w:r>
        <w:rPr/>
        <w:t>. The Company has not distributed and will not distribute, prior to the completion of the Sales Agents' distribution of the Placement Shares, any offering material in connection with the offering and sale of the Placement Shares other than the Prospectus or the Registration Statement.</w:t>
      </w:r>
    </w:p>
    <w:p>
      <w:pPr>
        <w:pStyle w:val="TextBody"/>
        <w:bidi w:val="0"/>
        <w:spacing w:before="200" w:after="200"/>
        <w:ind w:left="0" w:right="0" w:firstLine="720"/>
        <w:jc w:val="both"/>
        <w:rPr/>
      </w:pPr>
      <w:r>
        <w:rPr/>
        <w:t xml:space="preserve">(e) </w:t>
      </w:r>
      <w:r>
        <w:rPr>
          <w:u w:val="single"/>
        </w:rPr>
        <w:t>The Sales Agreement</w:t>
      </w:r>
      <w:r>
        <w:rPr/>
        <w:t>. This Agreement has been duly authorized, executed and delivered by the Company, and constitutes a valid, legal, and binding obligation of the Company, enforceable against the Company in accordance with its terms, except as rights to indemnity hereunder may be limited by federal or state securities laws and except as such enforceability may be limited by bankruptcy, insolvency, reorganization, moratorium or similar laws affecting the rights of creditors generally, and subject to general principles of equity. The Company has full corporate power and authority to enter into this Agreement and to authorize, issue and sell the Placement Shares as contemplated by this Agreement. This Agreement conforms in all material respects to the descriptions thereof in the Registration Statement and the Prospectus.</w:t>
      </w:r>
    </w:p>
    <w:p>
      <w:pPr>
        <w:pStyle w:val="TextBody"/>
        <w:bidi w:val="0"/>
        <w:spacing w:before="200" w:after="200"/>
        <w:ind w:left="0" w:right="0" w:firstLine="720"/>
        <w:jc w:val="both"/>
        <w:rPr/>
      </w:pPr>
      <w:r>
        <w:rPr/>
        <w:t xml:space="preserve">(f) </w:t>
      </w:r>
      <w:r>
        <w:rPr>
          <w:u w:val="single"/>
        </w:rPr>
        <w:t>Authorization of the Placement Shares</w:t>
      </w:r>
      <w:r>
        <w:rPr/>
        <w:t>. The Placement Shares, when issued and paid for as contemplated herein, will be validly issued, fully paid and nonassessable, will be issued in compliance with all applicable securities laws, and will be free of preemptive, registration or similar rights, and will conform to the description of the Common Shares contained in the Registration Statement and the Prospectus.</w:t>
      </w:r>
    </w:p>
    <w:p>
      <w:pPr>
        <w:pStyle w:val="TextBody"/>
        <w:bidi w:val="0"/>
        <w:spacing w:before="200" w:after="200"/>
        <w:ind w:left="0" w:right="0" w:firstLine="720"/>
        <w:jc w:val="both"/>
        <w:rPr/>
      </w:pPr>
      <w:r>
        <w:rPr/>
        <w:t xml:space="preserve">(g) </w:t>
      </w:r>
      <w:r>
        <w:rPr>
          <w:u w:val="single"/>
        </w:rPr>
        <w:t>No Applicable Registration or Other Similar Rights</w:t>
      </w:r>
      <w:r>
        <w:rPr/>
        <w:t>. There are no persons with registration or other similar rights to have any equity or debt securities registered for sale under the Registration Statement or included in the offering contemplated by this Agreement, except for such rights as have been duly waived. No person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w:t>
      </w:r>
    </w:p>
    <w:p>
      <w:pPr>
        <w:pStyle w:val="TextBody"/>
        <w:bidi w:val="0"/>
        <w:spacing w:before="200" w:after="200"/>
        <w:ind w:left="0" w:right="0" w:firstLine="720"/>
        <w:jc w:val="both"/>
        <w:rPr/>
      </w:pPr>
      <w:r>
        <w:rPr/>
        <w:t xml:space="preserve">(h) </w:t>
      </w:r>
      <w:r>
        <w:rPr>
          <w:u w:val="single"/>
        </w:rPr>
        <w:t>No Material Adverse Change</w:t>
      </w:r>
      <w:r>
        <w:rPr/>
        <w:t>. Except as otherwise disclosed in the Prospectus, subsequent to the respective dates as of which information is given in the Prospectus: (i) there has been no material adverse change in the business, properties, prospects, operations, condition (financial or otherwise) or results of operations of the Company and its subsidiaries, taken as a whole (any such change is called a "</w:t>
      </w:r>
      <w:r>
        <w:rPr>
          <w:b/>
          <w:u w:val="single"/>
        </w:rPr>
        <w:t>Material Adverse Change</w:t>
      </w:r>
      <w:r>
        <w:rPr/>
        <w:t>"), which, individually or in the aggregate, has had or would reasonably be expected to result in a Material Adverse Change;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(iii) there has been no dividend or distribution of any kind declared, paid or made by the Company; (iv) no executive officer or director of the Company has resigned from any position with the Company; and (v) there has not been any Material Adverse Change in the Company's long-term or short-term debt.</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1" w:name="page_6"/>
      <w:bookmarkEnd w:id="21"/>
      <w:r>
        <w:rPr/>
        <w:t xml:space="preserve">(i) </w:t>
      </w:r>
      <w:r>
        <w:rPr>
          <w:u w:val="single"/>
        </w:rPr>
        <w:t>Independent Accountants</w:t>
      </w:r>
      <w:r>
        <w:rPr/>
        <w:t>. To the knowledge of the Company, MaloneBailey, LLP, whose report is filed with the Commission and included or incorporated by reference in the Registration Statement and the Prospectus, is an independent registered public accounting firm as required by the Securities Act and the Public Company Accounting Oversight Board. MaloneBailey, LLP has not, during the periods covered by the financial statements included or incorporated by reference in the Registration Statement and the Prospectus, provided to the Company any non-audit services, as such term is used in Section 10A(g) of the Exchange Act.</w:t>
      </w:r>
    </w:p>
    <w:p>
      <w:pPr>
        <w:pStyle w:val="TextBody"/>
        <w:bidi w:val="0"/>
        <w:spacing w:before="200" w:after="200"/>
        <w:ind w:left="0" w:right="0" w:firstLine="720"/>
        <w:jc w:val="both"/>
        <w:rPr/>
      </w:pPr>
      <w:r>
        <w:rPr/>
        <w:t xml:space="preserve">(j) </w:t>
      </w:r>
      <w:r>
        <w:rPr>
          <w:u w:val="single"/>
        </w:rPr>
        <w:t>Financial Statements</w:t>
      </w:r>
      <w:r>
        <w:rPr/>
        <w:t>. The financial statements filed with the Commission as a part of the Registration Statement and included in the Prospectus, together with the related notes and schedules, present fairly, in all material respects, the consolidated financial position of the Company and its subsidiaries as of and at the dates indicated and the results of their operations and cash flows for the periods therein specified. Such financial statements and supporting schedules have been prepared in conformity with U.S. generally accepted accounting principles ("</w:t>
      </w:r>
      <w:r>
        <w:rPr>
          <w:b/>
          <w:u w:val="single"/>
        </w:rPr>
        <w:t>GAAP</w:t>
      </w:r>
      <w:r>
        <w:rPr/>
        <w:t>") applied on a consistent basis throughout the periods involved, except as may be expressly stated in the related notes thereto, provided, that, unaudited interim financial statements are subject to year-end audit adjustments that are not expected to be material in the aggregate and do not contain all footnotes required by GAAP. No other financial statements or supporting schedules are required to be included in or incorporated by reference in the Registration Statement or the Prospectus.</w:t>
      </w:r>
    </w:p>
    <w:p>
      <w:pPr>
        <w:pStyle w:val="TextBody"/>
        <w:bidi w:val="0"/>
        <w:spacing w:before="200" w:after="200"/>
        <w:ind w:left="0" w:right="0" w:firstLine="720"/>
        <w:jc w:val="both"/>
        <w:rPr/>
      </w:pPr>
      <w:r>
        <w:rPr/>
        <w:t xml:space="preserve">(k) </w:t>
      </w:r>
      <w:r>
        <w:rPr>
          <w:u w:val="single"/>
        </w:rPr>
        <w:t xml:space="preserve">Forward-Looking Statements. </w:t>
      </w:r>
      <w:r>
        <w:rPr/>
        <w:t>No forward-looking statement (within the meaning of Section 27A of the Securities Act and Section 21E of the Exchange Act) contained or incorporated by reference in the Registration Statement or the Prospectus has been made or reaffirmed by the Company without a reasonable basis or has been disclosed by the Company other than in good faith.</w:t>
      </w:r>
    </w:p>
    <w:p>
      <w:pPr>
        <w:pStyle w:val="TextBody"/>
        <w:bidi w:val="0"/>
        <w:spacing w:before="200" w:after="200"/>
        <w:ind w:left="0" w:right="0" w:firstLine="720"/>
        <w:jc w:val="both"/>
        <w:rPr/>
      </w:pPr>
      <w:r>
        <w:rPr/>
        <w:t xml:space="preserve">(l) </w:t>
      </w:r>
      <w:r>
        <w:rPr>
          <w:u w:val="single"/>
        </w:rPr>
        <w:t>Statistical and Marketing-Related Data</w:t>
      </w:r>
      <w:r>
        <w:rPr/>
        <w:t>. The statistical and market-related data included or incorporated by reference in each of the Registration Statement or the Prospectus are based on or derived from sources that the Company reasonably believes to be reliable and accurate or represent the Company's good faith estimates that are made on the basis of data derived from such sources.</w:t>
      </w:r>
    </w:p>
    <w:p>
      <w:pPr>
        <w:pStyle w:val="TextBody"/>
        <w:bidi w:val="0"/>
        <w:spacing w:before="200" w:after="200"/>
        <w:ind w:left="0" w:right="0" w:firstLine="720"/>
        <w:jc w:val="both"/>
        <w:rPr/>
      </w:pPr>
      <w:r>
        <w:rPr/>
        <w:t xml:space="preserve">(m) </w:t>
      </w:r>
      <w:r>
        <w:rPr>
          <w:u w:val="single"/>
        </w:rPr>
        <w:t>XBRL</w:t>
      </w:r>
      <w:r>
        <w:rPr/>
        <w:t>. The interactive data in eXtensible Business Reporting Language ("</w:t>
      </w:r>
      <w:r>
        <w:rPr>
          <w:b/>
          <w:u w:val="single"/>
        </w:rPr>
        <w:t>XBRL</w:t>
      </w:r>
      <w:r>
        <w:rPr/>
        <w:t>")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200" w:after="200"/>
        <w:ind w:left="0" w:right="0" w:firstLine="720"/>
        <w:jc w:val="both"/>
        <w:rPr/>
      </w:pPr>
      <w:r>
        <w:rPr/>
        <w:t xml:space="preserve">(n) </w:t>
      </w:r>
      <w:r>
        <w:rPr>
          <w:u w:val="single"/>
        </w:rPr>
        <w:t>Incorporation and Good Standing of the Company and its Subsidiaries</w:t>
      </w:r>
      <w:r>
        <w:rPr/>
        <w:t>. The Company is a corporation duly incorporated and validly existing under the laws of the Province of Ontario. The Company has requisite corporate power to carry on its business as described in the Prospectus. The Company is duly qualified to transact business and is in good standing in all jurisdictions in which the conduct of its business requires such qualification; except where the failure to be so qualified or to be in good standing would not result in a Material Adverse Change. The Company has no subsidiaries and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(ii) those subsidiaries formed or acquired since the last day of the most recently ended fiscal year, and (iii) as disclosed in the Registration Statement and the Prospectus.</w:t>
      </w:r>
    </w:p>
    <w:p>
      <w:pPr>
        <w:pStyle w:val="TextBody"/>
        <w:bidi w:val="0"/>
        <w:spacing w:before="200" w:after="200"/>
        <w:ind w:left="0" w:right="0" w:firstLine="720"/>
        <w:jc w:val="both"/>
        <w:rPr/>
      </w:pPr>
      <w:r>
        <w:rPr/>
        <w:t xml:space="preserve">(o) </w:t>
      </w:r>
      <w:r>
        <w:rPr>
          <w:u w:val="single"/>
        </w:rPr>
        <w:t>Capital Stock Matters</w:t>
      </w:r>
      <w:r>
        <w:rPr/>
        <w:t>. All issued and outstanding Common Shares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authorized Common Shares conform in all material respects to all statements relating thereto contained in the Registration Statement and the Prospectus. The offers and sales of the outstanding Common Shares were at all relevant times either registered under the Securities Act and the applicable state securities or "blue sky" laws or, based in part on the representations and warranties of the purchasers of such shares, exempt from such registration requirements. The description of the Company's stock option, stock bonus and other stock plans or arrangements, and the options or other rights granted thereunder, as described in the Registration Statement and the Prospectus, accurately and fairly present, in all material respects, the information required to be shown with respect to such plans, arrangements, options and rights.</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2" w:name="page_7"/>
      <w:bookmarkEnd w:id="22"/>
      <w:r>
        <w:rPr/>
        <w:t xml:space="preserve">(p) </w:t>
      </w:r>
      <w:r>
        <w:rPr>
          <w:u w:val="single"/>
        </w:rPr>
        <w:t>Non-Contravention of Existing Instruments; No Further Authorizations or Approvals Required</w:t>
      </w:r>
      <w:r>
        <w:rPr/>
        <w:t>. The Company's execution, delivery and performance of this Agreement and consummation of the transactions contemplated hereby or by the Registration Statement and the Prospectus (including the issuance and sale of the Placement Shares and the use of the proceeds from the sale of the Placement Shares as described in the Prospectus under the caption "Use of Proceeds") will not (A) result in a material breach or violation of any of the terms and provisions of, or constitute a default under, any law, order, rule or regulation to which the Company or any subsidiary is subject (including, without limitation, those promulgated by the Food and Drug Administration of the U.S. Department of Health and Human Services (the "</w:t>
      </w:r>
      <w:r>
        <w:rPr>
          <w:b/>
          <w:u w:val="single"/>
        </w:rPr>
        <w:t>FDA</w:t>
      </w:r>
      <w:r>
        <w:rPr/>
        <w:t>") or by any foreign, federal, state or local regulatory authority performing functions similar to those performed by the FDA), or by which any property or asset of the Company or any subsidiary is bound or affected, (B) conflict with, result in any violation or breach of, or constitute a default (or an event that with notice or lapse of time or both would become a default) under, or give to others any right of termination, amendment, acceleration or cancellation (with or without notice, lapse of time or both) (a "</w:t>
      </w:r>
      <w:r>
        <w:rPr>
          <w:b/>
          <w:u w:val="single"/>
        </w:rPr>
        <w:t>Default Acceleration Event</w:t>
      </w:r>
      <w:r>
        <w:rPr/>
        <w:t>") of, any agreement, lease, credit facility, debt, note, bond, mortgage, indenture or other instrument ("</w:t>
      </w:r>
      <w:r>
        <w:rPr>
          <w:b/>
          <w:u w:val="single"/>
        </w:rPr>
        <w:t>Contract</w:t>
      </w:r>
      <w:r>
        <w:rPr/>
        <w:t>") or obligation or other understanding to which the Company or any subsidiary is a party or by which any property or asset of the Company or any subsidiary is bound or affected, except to the extent that such conflict, default, or Default Acceleration Event is not reasonably likely to result in a Material Adverse Change, or (C) result in a breach or violation of any of the terms and provisions of, or constitute a default under, the Company's articles of incorporation (as the same may be amended or restated from time to time) or bylaws (as the same may be amended or restated from time to time). Except as set forth in the Registration Statement and the Prospectus, neither the Company nor any of its subsidiaries is in violation, breach or default under its articles of incorporation (as the same may be amended or restated from time to time), bylaws (as the same may be amended or restated from time to time) or other equivalent organizational or governing documents. Neither the Company nor any its subsidiaries nor, to its knowledge, any other party is in violation, breach or default of any Contract that has resulted in or could reasonably be expected to result in a Material Adverse Change. Each approval, consent, order, authorization, designation, declaration or filing by or with any regulatory, administrative or other governmental body necessary in connection with the execution and delivery by the Company of this Agreement and the performance of the Company of the transactions herein contemplated has been obtained or made and is in full force and effect, except (i) with respect to any Applicable Time at which the Sales Agents would not be able to rely on Rule 5110(b)(7)(C)(i) of the Financial Industry Regulatory Authority, Inc. ("</w:t>
      </w:r>
      <w:r>
        <w:rPr>
          <w:b/>
          <w:u w:val="single"/>
        </w:rPr>
        <w:t>FINRA</w:t>
      </w:r>
      <w:r>
        <w:rPr/>
        <w:t>"), such additional steps as may be required by FINRA, (ii) filings with the Commission required under the Securities Act or the Exchange Act, or filings or notice with the Exchange pursuant to the rules and regulations of the Exchange, in each case that are contemplated by this Agreement to be made after the date of this Agreement, and (iii) such additional steps as may be necessary to qualify the Common Shares for sale by the Sales Agents under state securities or Blue Sky laws.</w:t>
      </w:r>
    </w:p>
    <w:p>
      <w:pPr>
        <w:pStyle w:val="TextBody"/>
        <w:bidi w:val="0"/>
        <w:spacing w:before="200" w:after="200"/>
        <w:ind w:left="0" w:right="0" w:firstLine="720"/>
        <w:jc w:val="both"/>
        <w:rPr/>
      </w:pPr>
      <w:r>
        <w:rPr/>
        <w:t xml:space="preserve">(q) </w:t>
      </w:r>
      <w:r>
        <w:rPr>
          <w:u w:val="single"/>
        </w:rPr>
        <w:t>No Material Actions or Proceedings</w:t>
      </w:r>
      <w:r>
        <w:rPr/>
        <w:t>. There is no action, suit, proceeding, inquiry, arbitration, investigation, litigation or governmental proceeding pending or, to the Company's knowledge, threatened against, or involving the Company or, to the Company's knowledge, any executive officer or director of the Company including any proceeding before the FDA or any federal, state, local or foreign governmental bodies (it being understood that the interaction between the Company and the FDA and such comparable governmental bodies relating to the clinical development and product approval process shall not be deemed proceedings for purposes of this representation), which is required to be disclosed and has not been disclosed in the Registration Statement or the Prospectus, except as would not, individually or in the aggregate, reasonably be expected to have a Material Adverse Change.</w:t>
      </w:r>
    </w:p>
    <w:p>
      <w:pPr>
        <w:pStyle w:val="TextBody"/>
        <w:bidi w:val="0"/>
        <w:spacing w:before="200" w:after="200"/>
        <w:ind w:left="0" w:right="0" w:firstLine="720"/>
        <w:jc w:val="both"/>
        <w:rPr/>
      </w:pPr>
      <w:r>
        <w:rPr/>
        <w:t xml:space="preserve">(r) </w:t>
      </w:r>
      <w:r>
        <w:rPr>
          <w:u w:val="single"/>
        </w:rPr>
        <w:t>Labor Disputes</w:t>
      </w:r>
      <w:r>
        <w:rPr/>
        <w:t>. Except as set forth in the Registration Statement and the Prospectus, there is not pending or, to the knowledge of the Company, threatened, any action, suit or proceeding to which the Company or any of its subsidiaries is a party or of which any property or assets of the Company or any of its subsidiaries is the subject before or by any court or governmental agency, authority or body, or any arbitrator or mediator, except as would not, individually or in the aggregate, reasonably be expected to have a Material Adverse Change.</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3" w:name="page_8"/>
      <w:bookmarkEnd w:id="23"/>
      <w:r>
        <w:rPr/>
        <w:t xml:space="preserve">(s) </w:t>
      </w:r>
      <w:r>
        <w:rPr>
          <w:u w:val="single"/>
        </w:rPr>
        <w:t xml:space="preserve">Compliance with Certain Applicable Laws. </w:t>
      </w:r>
      <w:r>
        <w:rPr/>
        <w:t>The Company: (A) is and at all times has been in compliance, in all respects, with any and all applicable United States and Canadian federal, state, provincial, local and foreign laws, rules, regulations, treaties, statutes and codes promulgated by any and all governmental authorities applicable to the ownership, testing, development, manufacture, packaging, processing, use, distribution, marketing, labeling, promotion, sale, offer for sale, storage, import, export or disposal of any product manufactured or distributed by the Company ("</w:t>
      </w:r>
      <w:r>
        <w:rPr>
          <w:b/>
          <w:u w:val="single"/>
        </w:rPr>
        <w:t>Applicable Laws</w:t>
      </w:r>
      <w:r>
        <w:rPr/>
        <w:t>"), except as could not, individually or in the aggregate, reasonably be expected to have a Material Adverse Change; (B) has not received any warning letter, untitled letter or other correspondence or notice from any governmental authority alleging or asserting noncompliance with any Applicable Laws or any licenses, certificates, approvals, clearances, authorizations, permits and supplements or amendments thereto required by any such Applicable Laws ("</w:t>
      </w:r>
      <w:r>
        <w:rPr>
          <w:b/>
          <w:u w:val="single"/>
        </w:rPr>
        <w:t>Authorizations</w:t>
      </w:r>
      <w:r>
        <w:rPr/>
        <w: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w:t>
      </w:r>
    </w:p>
    <w:p>
      <w:pPr>
        <w:pStyle w:val="TextBody"/>
        <w:bidi w:val="0"/>
        <w:spacing w:before="200" w:after="200"/>
        <w:ind w:left="0" w:right="0" w:firstLine="720"/>
        <w:jc w:val="both"/>
        <w:rPr/>
      </w:pPr>
      <w:r>
        <w:rPr/>
        <w:t xml:space="preserve">(t) </w:t>
      </w:r>
      <w:r>
        <w:rPr>
          <w:u w:val="single"/>
        </w:rPr>
        <w:t>Tax Law Compliance</w:t>
      </w:r>
      <w:r>
        <w:rPr/>
        <w:t>. Other than as disclosed in the Registration Statement and the Prospectus, each of the Company and its subsidiaries has (a) filed all material foreign, federal, state and local tax returns (as hereinafter defined) required to be filed with taxing authorities prior to the date hereof or has duly obtained extensions of time for the filing thereof and (b) paid all taxes (as hereinafter defined) shown as due and payable on such returns that were filed and has paid all taxes imposed on or assessed against the Company or such respective subsidiary except where any such unpaid taxes would not reasonably likely to result in a Material Adverse Change. The provisions for taxes payable, if any, shown on the financial statements included or incorporated by reference in the Registration Statement and the Prospectus are sufficient for all accrued and unpaid taxes, whether or not disputed, and for all periods to and including the dates of such consolidated financial statements. Other than as disclosed in the Registration Statement and the Prospectus, no material issues have been raised (and are currently pending) by any taxing authority in connection with any of the returns or taxes asserted as due from the Company or its subsidiaries, and no waivers of statutes of limitation with respect to the returns or collection of taxes have been given by or requested from the Company or its subsidiaries. There are no tax liens against the assets, properties or business of the Company or any of its subsidiaries. The term "</w:t>
      </w:r>
      <w:r>
        <w:rPr>
          <w:b/>
          <w:u w:val="single"/>
        </w:rPr>
        <w:t>taxes</w:t>
      </w:r>
      <w:r>
        <w:rPr/>
        <w:t>"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b/>
          <w:u w:val="single"/>
        </w:rPr>
        <w:t>returns</w:t>
      </w:r>
      <w:r>
        <w:rPr/>
        <w:t>" means all returns, declarations, reports, statements, and other documents required to be filed in respect to taxes.</w:t>
      </w:r>
    </w:p>
    <w:p>
      <w:pPr>
        <w:pStyle w:val="TextBody"/>
        <w:bidi w:val="0"/>
        <w:spacing w:before="200" w:after="200"/>
        <w:ind w:left="0" w:right="0" w:firstLine="720"/>
        <w:jc w:val="both"/>
        <w:rPr/>
      </w:pPr>
      <w:r>
        <w:rPr/>
        <w:t xml:space="preserve">(u) </w:t>
      </w:r>
      <w:r>
        <w:rPr>
          <w:u w:val="single"/>
        </w:rPr>
        <w:t>Company Not an "Investment Company</w:t>
      </w:r>
      <w:r>
        <w:rPr/>
        <w:t xml:space="preserve">". The Company is not, and will not be, either after receipt of payment for the Placement Shares or after the application of the proceeds therefrom as described under "Use of Proceeds" in the Registration Statement or the Prospectus, required to register as an "investment company" under the Investment Company Act of 1940, as amended (the </w:t>
      </w:r>
      <w:r>
        <w:rPr>
          <w:b/>
        </w:rPr>
        <w:t>"</w:t>
      </w:r>
      <w:r>
        <w:rPr>
          <w:b/>
          <w:u w:val="single"/>
        </w:rPr>
        <w:t>Investment Company Act</w:t>
      </w:r>
      <w:r>
        <w:rPr/>
        <w:t>").</w:t>
      </w:r>
    </w:p>
    <w:p>
      <w:pPr>
        <w:pStyle w:val="TextBody"/>
        <w:bidi w:val="0"/>
        <w:spacing w:before="200" w:after="200"/>
        <w:ind w:left="0" w:right="0" w:firstLine="720"/>
        <w:jc w:val="both"/>
        <w:rPr/>
      </w:pPr>
      <w:r>
        <w:rPr/>
        <w:t xml:space="preserve">(v) </w:t>
      </w:r>
      <w:r>
        <w:rPr>
          <w:u w:val="single"/>
        </w:rPr>
        <w:t>Insurance</w:t>
      </w:r>
      <w:r>
        <w:rPr/>
        <w:t>. The Company and each of its subsidiaries carries, or is entitled to the benefits of insurance in such amounts and covering such risks, which the Company believes are adequate for the conduct of its business and the value of its properties and as is customary for companies engaged in similar businesses in similar industries, and all such insurance is in full force and effect. Neither the Company nor any of its subsidiaries has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4" w:name="page_9"/>
      <w:bookmarkEnd w:id="24"/>
      <w:r>
        <w:rPr/>
        <w:t xml:space="preserve">(w) </w:t>
      </w:r>
      <w:r>
        <w:rPr>
          <w:u w:val="single"/>
        </w:rPr>
        <w:t>No Price Stabilization or Manipulation</w:t>
      </w:r>
      <w:r>
        <w:rPr/>
        <w:t>. The Company has not taken, directly or indirectly (without giving any effect to the activities of the Sales Agents), any action designed to or that might cause or result in stabilization or manipulation of the price of the Common Shares or of any "reference security" (as defined in Rule 100 of Regulation M under the Exchange Act ("</w:t>
      </w:r>
      <w:r>
        <w:rPr>
          <w:b/>
          <w:u w:val="single"/>
        </w:rPr>
        <w:t>Regulation M</w:t>
      </w:r>
      <w:r>
        <w:rPr/>
        <w:t>")) with respect to the Common Shares, whether to facilitate the sale or resale of the Placement Shares or otherwise, and has taken no action which would directly or indirectly violate Regulation M.</w:t>
      </w:r>
    </w:p>
    <w:p>
      <w:pPr>
        <w:pStyle w:val="TextBody"/>
        <w:bidi w:val="0"/>
        <w:spacing w:before="200" w:after="200"/>
        <w:ind w:left="0" w:right="0" w:firstLine="720"/>
        <w:jc w:val="both"/>
        <w:rPr/>
      </w:pPr>
      <w:r>
        <w:rPr/>
        <w:t xml:space="preserve">(x) </w:t>
      </w:r>
      <w:r>
        <w:rPr>
          <w:u w:val="single"/>
        </w:rPr>
        <w:t>Related Party Transactions</w:t>
      </w:r>
      <w:r>
        <w:rPr/>
        <w:t>. There are no business relationships or related party transactions involving the Company or any other person required to be described in the Registration Statement and the Prospectus that have not been described as required pursuant to the Securities Act.</w:t>
      </w:r>
    </w:p>
    <w:p>
      <w:pPr>
        <w:pStyle w:val="TextBody"/>
        <w:bidi w:val="0"/>
        <w:spacing w:before="200" w:after="200"/>
        <w:ind w:left="0" w:right="0" w:firstLine="720"/>
        <w:jc w:val="both"/>
        <w:rPr/>
      </w:pPr>
      <w:r>
        <w:rPr/>
        <w:t xml:space="preserve">(y) </w:t>
      </w:r>
      <w:r>
        <w:rPr>
          <w:u w:val="single"/>
        </w:rPr>
        <w:t>Exchange Act Compliance</w:t>
      </w:r>
      <w:r>
        <w:rPr/>
        <w:t>. The documents incorporated or deemed to be incorporated by reference in the Registration Statement, the Prospectus or any amendment or supplement thereto, at the time they were or hereafter are filed with the Commission under the Exchange Act, complied and will comply in all material respects with the requirements of the Exchange Act, and, when read together with the other information in the Prospectus, at each Point of Sale and each Settlement Date,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pStyle w:val="TextBody"/>
        <w:bidi w:val="0"/>
        <w:spacing w:before="200" w:after="200"/>
        <w:ind w:left="0" w:right="0" w:firstLine="720"/>
        <w:jc w:val="both"/>
        <w:rPr/>
      </w:pPr>
      <w:r>
        <w:rPr/>
        <w:t xml:space="preserve">(z) </w:t>
      </w:r>
      <w:r>
        <w:rPr>
          <w:u w:val="single"/>
        </w:rPr>
        <w:t>Conformity of Issuer Free Writing Prospectus</w:t>
      </w:r>
      <w:r>
        <w:rPr/>
        <w:t>. Each Issuer Free Writing Prospectus conformed or will conform in all material respects to the requirements of the Securities Act on the date of first use, and the Company has complied or will comply with any filing requirements applicable to such Issuer Free Writing Prospectus pursuant to the Securities Act. Each Issuer Free Writing Prospectus, as of its issue date and at all subsequent times through the completion of the public offer and sale of the Placement Shares, did not, does not and will not include any information that conflicted, conflicts or will conflict with the information contained in the Registration Statement or the Prospectus, including any document incorporated by reference therein that has not been superseded or modified. The Company has not made any offer relating to the Placement Shares that would constitute an Issuer Free Writing Prospectus without the prior written consent of the Sales Agents. The Company has retained in accordance with the Securities Act all Issuer Free Writing Prospectuses that were not required to be filed pursuant to the Securities Act.</w:t>
      </w:r>
    </w:p>
    <w:p>
      <w:pPr>
        <w:pStyle w:val="TextBody"/>
        <w:bidi w:val="0"/>
        <w:spacing w:before="200" w:after="200"/>
        <w:ind w:left="0" w:right="0" w:firstLine="720"/>
        <w:jc w:val="both"/>
        <w:rPr/>
      </w:pPr>
      <w:r>
        <w:rPr/>
        <w:t xml:space="preserve">(aa) </w:t>
      </w:r>
      <w:r>
        <w:rPr>
          <w:u w:val="single"/>
        </w:rPr>
        <w:t>Compliance with Environmental Laws</w:t>
      </w:r>
      <w:r>
        <w:rPr/>
        <w:t>. The Company and its subsidiaries are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b/>
          <w:u w:val="single"/>
        </w:rPr>
        <w:t>Environmental Laws</w:t>
      </w:r>
      <w:r>
        <w:rPr/>
        <w:t>"), except where the failure to comply has not had and would not reasonably be expected to result in, singularly or in the aggregate, a Material Adverse Change.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has not had and would not reasonably be expected to have, singularly or in the aggregate with all such violations and liabilities, a Material Adverse Change;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 except for any such disposal, discharge, emission, or other release of any kind which would not have, singularly or in the aggregate with all such discharges and other releases, a Material Adverse Change.</w:t>
      </w:r>
    </w:p>
    <w:p>
      <w:pPr>
        <w:pStyle w:val="TextBody"/>
        <w:bidi w:val="0"/>
        <w:spacing w:before="200" w:after="200"/>
        <w:ind w:left="0" w:right="0" w:firstLine="720"/>
        <w:jc w:val="both"/>
        <w:rPr/>
      </w:pPr>
      <w:r>
        <w:rPr/>
        <w:t xml:space="preserve">(bb) </w:t>
      </w:r>
      <w:r>
        <w:rPr>
          <w:u w:val="single"/>
        </w:rPr>
        <w:t>Intellectual Property</w:t>
      </w:r>
      <w:r>
        <w:rPr/>
        <w:t>. The Company and each of its subsidiaries own or possess or have valid rights to use all patents, patent applications, trademarks, service marks, trade names, trademark registrations, service mark registrations, copyrights, licenses, inventions, trade secrets and similar rights ("</w:t>
      </w:r>
      <w:r>
        <w:rPr>
          <w:b/>
          <w:u w:val="single"/>
        </w:rPr>
        <w:t>Intellectual Property Rights</w:t>
      </w:r>
      <w:r>
        <w:rPr/>
        <w:t xml:space="preserve">") necessary for the conduct of the business of the Company and its subsidiaries as currently carried on and as described in the Registration Statement and the Prospectus, except as would not be reasonably likely to result in a Material Adverse Change. To the knowledge of the Company, no action or use by the Company or any of its subsidiaries necessary for the conduct of their business as currently carried on and as described in the Registration Statement and the Prospectus will involve or give rise to any infringement of, or license or similar fees for, any Intellectual Property Rights of others, except where such action, use, license or fee is not reasonably likely to result in a Material Adverse Change. Neither the Company nor any of its subsidiaries have received any notice alleging any such infringement, fee or conflict with asserted Intellectual Property Rights of others. Except as would not reasonably be expected to result, individually or in the aggregate, in a Material Adverse Change (A) to the knowledge of the Company, there is no infringement, misappropriation or violation by third parties of any of the Intellectual Property Rights owned by the Company or any of its subsidiaries; (B) there is no pending or, to the knowledge of the Company, threatened action, suit, proceeding or claim by others challenging the rights of the Company or any of its subsidiaries in or to any such Intellectual Property Rights, and the Company is unaware of any facts which would form a reasonable basis for any such claim, that would, individually or in the aggregate, together with any other claims in this </w:t>
      </w:r>
      <w:r>
        <w:rPr>
          <w:u w:val="single"/>
        </w:rPr>
        <w:t>Section 6(bb)</w:t>
      </w:r>
      <w:r>
        <w:rPr/>
        <w:t xml:space="preserve">, reasonably be expected to result in a Material Adverse Change; (C) the Intellectual Property Rights owned by the Company or any of its subsidiaries and, to the knowledge of the Company, the Intellectual Property Rights licensed to the Company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w:t>
      </w:r>
      <w:r>
        <w:rPr>
          <w:u w:val="single"/>
        </w:rPr>
        <w:t>Section 6(bb)</w:t>
      </w:r>
      <w:r>
        <w:rPr/>
        <w:t xml:space="preserve">, reasonably be expected to result in a Material Adverse Change; (D) there is no pending or, to the Company's knowledge, threatened action, suit, proceeding or claim by others that the Company or any of its subsidiaries infringes, misappropriates or otherwise violates any Intellectual Property Rights or other proprietary rights of others, neither the Company nor any of its subsidiaries has received any written notice of such claim and the Company is unaware of any other facts which would form a reasonable basis for any such claim that would, individually or in the aggregate, together with any other claims in this </w:t>
      </w:r>
      <w:r>
        <w:rPr>
          <w:u w:val="single"/>
        </w:rPr>
        <w:t>Section 6(bb)</w:t>
      </w:r>
      <w:r>
        <w:rPr/>
        <w:t>, reasonably be expected to result in a Material Adverse Change; and (E) except as disclosed in the Registration Statement and the Prospectus, to the Company's knowledge, no employee of the Company or any of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and could reasonably be expected to result, individually or in the aggregate, in a Material Adverse Change. To the Company's knowledge, all material technical information developed by and belonging to the Company or any of its subsidiaries which has not been patented has been kept confidential. Neither the Company nor any of its subsidiaries is a party to or bound by any options, licenses or agreements with respect to the Intellectual Property Rights of any other person or entity that are required to be set forth in the Registration Statement and the Prospectus and are not described therein. The Registration Statement and the Prospectus contain in all material respects the same description of the matters set forth in the preceding sentence. None of the technology employed by the Company or its subsidiaries has been obtained or is being used by the Company or any of its subsidiaries in violation of any contractual obligation binding on the Company or any such subsidiary or, to the Company's knowledge, any of its or its subsidiaries' officers, directors or employees, or otherwise in violation of the rights of any persons, except for violations that would not result in a Material Adverse Change.</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5" w:name="page_10"/>
      <w:bookmarkEnd w:id="25"/>
      <w:r>
        <w:rPr/>
        <w:t xml:space="preserve">(cc) </w:t>
      </w:r>
      <w:r>
        <w:rPr>
          <w:u w:val="single"/>
        </w:rPr>
        <w:t>Brokers</w:t>
      </w:r>
      <w:r>
        <w:rPr/>
        <w:t>. Neither the Company nor any of its subsidiaries is a party to any contract, agreement or understanding with any person (other than as contemplated by this Agreement) that would give rise to a valid claim against the Company or any of its subsidiaries or the Sales Agents for a brokerage commission, finder's fee or like payment in connection with the offering and sale of the Placement Shares by the Sales Agents under this Agreement.</w:t>
      </w:r>
    </w:p>
    <w:p>
      <w:pPr>
        <w:pStyle w:val="TextBody"/>
        <w:bidi w:val="0"/>
        <w:spacing w:before="200" w:after="200"/>
        <w:ind w:left="0" w:right="0" w:firstLine="720"/>
        <w:jc w:val="both"/>
        <w:rPr/>
      </w:pPr>
      <w:r>
        <w:rPr/>
        <w:t xml:space="preserve">(dd) </w:t>
      </w:r>
      <w:r>
        <w:rPr>
          <w:u w:val="single"/>
        </w:rPr>
        <w:t>No Outstanding Loans or Other Indebtedness</w:t>
      </w:r>
      <w:r>
        <w:rPr/>
        <w:t>. There are no outstanding loans, advances (except normal advances for business expenses in the ordinary course of business) or guarantees or indebtedness by the Company or any of its subsidiaries to or for the benefit of any of the officers or directors of the Company or executive officers of any of its subsidiaries to the extent such executive officers may be deemed executive officers of the Company, or any of their respective family members, except as disclosed in the Registration Statement and the Prospectus. The Company has not directly or indirectly extended or maintained credit, arranged for the extension of credit, or renewed an extension of credit, in the form of a personal loan to or for any director or executive officer of the Company.</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6" w:name="page_111"/>
      <w:bookmarkEnd w:id="26"/>
      <w:r>
        <w:rPr/>
        <w:t xml:space="preserve">(ee) </w:t>
      </w:r>
      <w:r>
        <w:rPr>
          <w:u w:val="single"/>
        </w:rPr>
        <w:t>No Reliance</w:t>
      </w:r>
      <w:r>
        <w:rPr/>
        <w:t>. The Company has not relied upon the Sales Agents or legal counsel for the Sales Agents for any legal, tax or accounting advice in connection with the offering and sale of the Placement Shares.</w:t>
      </w:r>
    </w:p>
    <w:p>
      <w:pPr>
        <w:pStyle w:val="TextBody"/>
        <w:bidi w:val="0"/>
        <w:spacing w:before="200" w:after="200"/>
        <w:ind w:left="0" w:right="0" w:firstLine="720"/>
        <w:jc w:val="both"/>
        <w:rPr/>
      </w:pPr>
      <w:r>
        <w:rPr/>
        <w:t xml:space="preserve">(ff) </w:t>
      </w:r>
      <w:r>
        <w:rPr>
          <w:u w:val="single"/>
        </w:rPr>
        <w:t>Broker-Dealer Status</w:t>
      </w:r>
      <w:r>
        <w:rPr/>
        <w:t>. Neither the Company nor any of its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of Article I of the NASD Manual administered by FINRA). To the Company's knowledge, there are no affiliations or associations between any member of FINRA and any of the Company's officers, directors or 10% or greater security holders, except as set forth in the Registration Statement.</w:t>
      </w:r>
    </w:p>
    <w:p>
      <w:pPr>
        <w:pStyle w:val="TextBody"/>
        <w:bidi w:val="0"/>
        <w:spacing w:before="200" w:after="200"/>
        <w:ind w:left="0" w:right="0" w:firstLine="720"/>
        <w:jc w:val="both"/>
        <w:rPr/>
      </w:pPr>
      <w:r>
        <w:rPr/>
        <w:t xml:space="preserve">(gg) </w:t>
      </w:r>
      <w:r>
        <w:rPr>
          <w:u w:val="single"/>
        </w:rPr>
        <w:t>S-3 Eligibility</w:t>
      </w:r>
      <w:r>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use of Form S-3 under the Securities Act, including compliance with General Instruction I.B.1 or General Instruction I.B.6 of Form S-3, if and for so long as applicable.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pStyle w:val="TextBody"/>
        <w:bidi w:val="0"/>
        <w:spacing w:before="200" w:after="200"/>
        <w:ind w:left="0" w:right="0" w:firstLine="720"/>
        <w:jc w:val="both"/>
        <w:rPr/>
      </w:pPr>
      <w:r>
        <w:rPr/>
        <w:t xml:space="preserve">(hh) </w:t>
      </w:r>
      <w:r>
        <w:rPr>
          <w:u w:val="single"/>
        </w:rPr>
        <w:t>[Reserved.]</w:t>
      </w:r>
    </w:p>
    <w:p>
      <w:pPr>
        <w:pStyle w:val="TextBody"/>
        <w:bidi w:val="0"/>
        <w:spacing w:before="200" w:after="200"/>
        <w:ind w:left="0" w:right="0" w:firstLine="720"/>
        <w:jc w:val="both"/>
        <w:rPr/>
      </w:pPr>
      <w:r>
        <w:rPr/>
        <w:t xml:space="preserve">(ii) </w:t>
      </w:r>
      <w:r>
        <w:rPr>
          <w:u w:val="single"/>
        </w:rPr>
        <w:t>Compliance with Orders</w:t>
      </w:r>
      <w:r>
        <w:rPr/>
        <w:t>. Neither the Company nor any of its subsidiaries is in violation of any material judgment, decree, or order of any court, arbitrator or other governmental authority.</w:t>
      </w:r>
    </w:p>
    <w:p>
      <w:pPr>
        <w:pStyle w:val="TextBody"/>
        <w:bidi w:val="0"/>
        <w:spacing w:before="200" w:after="200"/>
        <w:ind w:left="0" w:right="0" w:firstLine="720"/>
        <w:jc w:val="both"/>
        <w:rPr/>
      </w:pPr>
      <w:r>
        <w:rPr/>
        <w:t xml:space="preserve">(jj) </w:t>
      </w:r>
      <w:r>
        <w:rPr>
          <w:u w:val="single"/>
        </w:rPr>
        <w:t>Sarbanes-Oxley Act</w:t>
      </w:r>
      <w:r>
        <w:rPr/>
        <w:t>.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(the "</w:t>
      </w:r>
      <w:r>
        <w:rPr>
          <w:b/>
          <w:u w:val="single"/>
        </w:rPr>
        <w:t>Sarbanes-Oxley Act</w:t>
      </w:r>
      <w:r>
        <w:rPr/>
        <w:t>"), including Section 402 related to loans and Sections 302 and 906 related to certifications.</w:t>
      </w:r>
    </w:p>
    <w:p>
      <w:pPr>
        <w:pStyle w:val="TextBody"/>
        <w:bidi w:val="0"/>
        <w:spacing w:before="200" w:after="200"/>
        <w:ind w:left="0" w:right="0" w:firstLine="720"/>
        <w:jc w:val="both"/>
        <w:rPr/>
      </w:pPr>
      <w:r>
        <w:rPr/>
        <w:t xml:space="preserve">(kk) </w:t>
      </w:r>
      <w:r>
        <w:rPr>
          <w:u w:val="single"/>
        </w:rPr>
        <w:t>Disclosure Controls and Procedures</w:t>
      </w:r>
      <w:r>
        <w:rPr/>
        <w:t>. The Company is in compliance with its timely and continuous disclosure obligations under all applicable securities laws in all material respects, including: (i) the applicable securities laws of each of the provinces and territories of Canada and the instruments, rules, regulations, blanket order, blanket rulings, applicable published policies, policy statements and notices of the applicable Canadian securities regulators ("</w:t>
      </w:r>
      <w:r>
        <w:rPr>
          <w:b/>
          <w:u w:val="single"/>
        </w:rPr>
        <w:t>Canadian Securities Laws</w:t>
      </w:r>
      <w:r>
        <w:rPr/>
        <w:t>") and (ii) the policies, rules and regulations of the Exchange and the Commission. None of the documents filed in accordance with Canadian Securities Laws contained, as at the date of filing thereof, a misrepresentation. Except as set forth in the Registration Statement and the Prospectus, the Company and its subsidiaries maintain systems of "internal control over financial reporting" (as defined under Rules 13a-15 and 15d-15 under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XBRL included or incorporated by reference in the Registration Statement and the Prospectus fairly present the information called for in all material respects and are prepared in accordance with the Commission's rules and guidelines applicable thereto. Since the date of the latest audited financial statements included in the Registration Statement and the Prospectus, there has been no change in the Company's internal control over financial reporting that has materially affected, or is reasonably likely to materially affect, the Company's internal control over financial reporting.</w:t>
      </w:r>
    </w:p>
    <w:p>
      <w:pPr>
        <w:pStyle w:val="TextBody"/>
        <w:bidi w:val="0"/>
        <w:spacing w:before="200" w:after="200"/>
        <w:ind w:left="0" w:right="0" w:firstLine="720"/>
        <w:jc w:val="both"/>
        <w:rPr/>
      </w:pPr>
      <w:r>
        <w:rPr/>
        <w:t xml:space="preserve">(ll) </w:t>
      </w:r>
      <w:r>
        <w:rPr>
          <w:u w:val="single"/>
        </w:rPr>
        <w:t>ERISA</w:t>
      </w:r>
      <w:r>
        <w:rPr/>
        <w:t>. The Company, its subsidiaries and any "employee benefit plan" (as defined under the Employee Retirement Income Security Act of 1974, as amended, and the regulations and published interpretations thereunder (collectively, "</w:t>
      </w:r>
      <w:r>
        <w:rPr>
          <w:b/>
          <w:u w:val="single"/>
        </w:rPr>
        <w:t>ERISA</w:t>
      </w:r>
      <w:r>
        <w:rPr/>
        <w:t>")) established or maintained by the Company, its subsidiaries or any of their "ERISA Affiliates" (as defined below) are in compliance in all material respects with ERISA. "</w:t>
      </w:r>
      <w:r>
        <w:rPr>
          <w:b/>
          <w:u w:val="single"/>
        </w:rPr>
        <w:t>ERISA Affiliate</w:t>
      </w:r>
      <w:r>
        <w:rPr/>
        <w:t>" means, with respect to the Company and each of its subsidiaries, any member of any group of organizations described in Sections 414(b),(c),(m) or (o) of the Internal Revenue Code of 1986, as amended, and the regulations and published interpretations thereunder (the "</w:t>
      </w:r>
      <w:r>
        <w:rPr>
          <w:b/>
          <w:u w:val="single"/>
        </w:rPr>
        <w:t>Code</w:t>
      </w:r>
      <w:r>
        <w:rPr/>
        <w:t>") of which the Company or any of its subsidiaries is a member. No "reportable event" (as defined under ERISA) has occurred or is reasonably expected to occur with respect to any "employee benefit plan" established or maintained by the Company, or any of its subsidiaries or any of their ERISA Affiliates. No "employee benefit plan" established or maintained by the Company, any of its subsidiaries or any of their ERISA Affiliates, if such "employee benefit plan" were terminated, would have any "amount of unfunded benefit liabilities" (as defined under ERISA). Neither the Company nor any of its subsidiaries nor any of their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any of its subsidiaries or any of their ERISA Affiliates that is intended to be qualified under Section 401(a) of the Code is so qualified and, to the knowledge of the Company, nothing has occurred, whether by action or failure to act, which would cause the loss of such qualification.</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7" w:name="page_121"/>
      <w:bookmarkEnd w:id="27"/>
      <w:r>
        <w:rPr/>
        <w:t xml:space="preserve">(mm) </w:t>
      </w:r>
      <w:r>
        <w:rPr>
          <w:u w:val="single"/>
        </w:rPr>
        <w:t>Contracts and Agreements</w:t>
      </w:r>
      <w:r>
        <w:rPr/>
        <w:t>. The agreements and documents described in the Registration Statement and the Prospectus conform in all material respects to the descriptions thereof contained therein and there are no agreements or other documents required by the Securities Act to be described in the Registration Statement and the Prospectus or to be filed with the Commission as exhibits to the Registration Statement, that have not been so described or filed. Each agreement or other instrument (however characterized or described) to which the Company or any of its subsidiaries is a party or by which it is or may be bound or affected and (i) that is referred to in the Registration Statement and the Prospectus, or (ii) is material to the Company's or its subsidiaries' business, has been duly authorized and validly executed by the Company, is in full force and effect in all material respects and is enforceable against the Company or any of its subsidiaries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Except as disclosed in the Registration Statement and the Prospectus, none of such agreements or instruments has been assigned by the Company or its subsidiaries, and neither the Company, its subsidiaries nor, to the Company's knowledge, any other party is in default thereunder and, to the Company's knowledge, no event has occurred that, with the lapse of time or the giving of notice, or both, would constitute a default thereunder. To the Company's knowledge, performance by the Company or any of its subsidiaries of the material provisions of such agreements or instruments will not result in a violation of any existing applicable law, rule, regulation, judgment, order or decree of any governmental agency or court, domestic or foreign, having jurisdiction over the Company, its subsidiaries or any of their assets or businesses (each, a "</w:t>
      </w:r>
      <w:r>
        <w:rPr>
          <w:b/>
          <w:u w:val="single"/>
        </w:rPr>
        <w:t>Governmental Entity</w:t>
      </w:r>
      <w:r>
        <w:rPr/>
        <w:t>"), including, without limitation, those relating to environmental laws and regulations.</w:t>
      </w:r>
    </w:p>
    <w:p>
      <w:pPr>
        <w:pStyle w:val="TextBody"/>
        <w:bidi w:val="0"/>
        <w:spacing w:before="200" w:after="200"/>
        <w:ind w:left="0" w:right="0" w:firstLine="720"/>
        <w:jc w:val="both"/>
        <w:rPr/>
      </w:pPr>
      <w:r>
        <w:rPr/>
        <w:t xml:space="preserve">(nn) </w:t>
      </w:r>
      <w:r>
        <w:rPr>
          <w:u w:val="single"/>
        </w:rPr>
        <w:t>Title to Properties</w:t>
      </w:r>
      <w:r>
        <w:rPr/>
        <w:t>. Except as set forth in the Registration Statement and the Prospectus, the Company and each of its subsidiaries have good and marketable title in fee simple to, or have valid rights to lease or otherwise use, all items of real or personal property which are material to the business of the Company, in each case free and clear of all liens, encumbrances, security interests, claims and defects that do not, singly or in the aggregate, materially affect the value of such property and do not interfere with the use made and proposed to be made of such property by the Company or any of its subsidiaries; and all of the leases and subleases material to the business of the Company, and under which the Company or any of its subsidiaries hold properties described in the Registration Statement and the Prospectus, are in full force and effect, and neither the Company nor any of its subsidiaries has received any notice of any material claim of any sort that has been asserted by anyone adverse to the rights of the Company or any of its subsidiaries under any of the leases or subleases mentioned above, or affecting or questioning the rights of the Company or any of its subsidiaries to the continued possession of the leased or subleased premises under any such lease or sublease, which would result in a Material Adverse Change.</w:t>
      </w:r>
    </w:p>
    <w:p>
      <w:pPr>
        <w:pStyle w:val="TextBody"/>
        <w:bidi w:val="0"/>
        <w:spacing w:before="200" w:after="200"/>
        <w:ind w:left="0" w:right="0" w:firstLine="720"/>
        <w:jc w:val="both"/>
        <w:rPr/>
      </w:pPr>
      <w:r>
        <w:rPr/>
        <w:t xml:space="preserve">(oo) </w:t>
      </w:r>
      <w:r>
        <w:rPr>
          <w:u w:val="single"/>
        </w:rPr>
        <w:t>No Unlawful Contributions or Other Payments</w:t>
      </w:r>
      <w:r>
        <w:rPr/>
        <w:t>. No payments or inducements have been made or given, directly or indirectly, to any federal or local official or candidate for, any federal or state office in the United States or foreign offices by the Company, any of its subsidiaries or any of their officers or directors, or, to the knowledge of the Company, by any of its employees or agents or any other person in connection with any opportunity, contract, permit, certificate, consent, order, approval, waiver or other authorization relating to the business of the Company or any of its subsidiaries, except for such payments or inducements as were lawful under applicable laws, rules and regulations. Neither the Company, any of its subsidiaries, nor, to the knowledge of the Company, any director, officer, agent, employee or other person associated with or acting on behalf of the Company or any of its subsidiaries, (i) has used any corporate funds for any unlawful contribution, gift, entertainment or other unlawful expense relating to political activity; (ii) made any direct or indirect unlawful payment to any government official or employee from corporate funds; or (iii) made any bribe, unlawful rebate, payoff, influence payment, kickback or other unlawful payment in connection with the business of the Company.</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8" w:name="page_13"/>
      <w:bookmarkEnd w:id="28"/>
      <w:r>
        <w:rPr/>
        <w:t xml:space="preserve">(pp) </w:t>
      </w:r>
      <w:r>
        <w:rPr>
          <w:u w:val="single"/>
        </w:rPr>
        <w:t xml:space="preserve">No Improper Practices. </w:t>
      </w:r>
      <w:r>
        <w:rPr/>
        <w:t>(i) Neither the Company nor the Subsidiaries, any director or officer of the Company or any Subsidiary nor, to the Company's knowledge, any employee,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provincial, state, municipal, or foreign office or other person charged with similar public or quasi-public duty in violation of any applicable law or of the character required to be disclosed in the Prospectus; (ii) no relationship, direct or indirect, exists between or among the Company or any Subsidiary or any affiliate of any of them, on the one hand, and the directors, officers and shareholders of the Company or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shareholders of the Company or any Subsidiary,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Common Shares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any director or officer of the Company or any Subsidiary nor, to the Company's knowledge, any employee, agent, affiliate or other person acting on behalf of the Company or any Subsidiary has (A) violated or is in violation of any applicable provision of the U.S. Foreign Corrupt Practices Act of 1977, as amended, the Corruption of Foreign Public Officials Act (Canada), or any other applicable anti-bribery or anti-corruption law (collectively, "</w:t>
      </w:r>
      <w:r>
        <w:rPr>
          <w:b/>
          <w:u w:val="single"/>
        </w:rPr>
        <w:t>Anti-Corruption Laws</w:t>
      </w:r>
      <w:r>
        <w:rPr/>
        <w:t>"), (B) improperly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pStyle w:val="TextBody"/>
        <w:bidi w:val="0"/>
        <w:spacing w:before="200" w:after="200"/>
        <w:ind w:left="0" w:right="0" w:firstLine="720"/>
        <w:jc w:val="both"/>
        <w:rPr/>
      </w:pPr>
      <w:r>
        <w:rPr/>
        <w:t xml:space="preserve">(qq) </w:t>
      </w:r>
      <w:r>
        <w:rPr>
          <w:u w:val="single"/>
        </w:rPr>
        <w:t>Money Laundering Laws</w:t>
      </w:r>
      <w:r>
        <w:rPr/>
        <w:t>. The operations of the Company and its subsidiaries are and have been conducted at all times in compliance with applicable financial recordkeeping and reporting requirements of the Currency and Foreign Transactions Reporting Act of 1970, as amended, and Terrorist Financing Act (Canada) the money laundering statutes of all jurisdictions, the rules and regulations thereunder and any related or similar rules, regulations or guidelines, issued, administered or enforced by any governmental agency (collectively, the "</w:t>
      </w:r>
      <w:r>
        <w:rPr>
          <w:b/>
          <w:u w:val="single"/>
        </w:rPr>
        <w:t>Money Laundering Laws</w:t>
      </w:r>
      <w:r>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200" w:after="200"/>
        <w:ind w:left="0" w:right="0" w:firstLine="720"/>
        <w:jc w:val="both"/>
        <w:rPr/>
      </w:pPr>
      <w:r>
        <w:rPr/>
        <w:t xml:space="preserve">(rr) </w:t>
      </w:r>
      <w:r>
        <w:rPr>
          <w:u w:val="single"/>
        </w:rPr>
        <w:t>OFAC and Sanctions</w:t>
      </w:r>
      <w:r>
        <w:rPr/>
        <w:t>. None of the Company, any of its subsidiaries or, to the knowledge of the Company, any director, officer, agent, employee, affiliate or person acting on behalf of the Company or any of its subsidiaries is currently subject to any U.S. sanctions administered by the Office of Foreign Assets Control of the U.S. Treasury Department ("</w:t>
      </w:r>
      <w:r>
        <w:rPr>
          <w:b/>
          <w:u w:val="single"/>
        </w:rPr>
        <w:t>OFAC</w:t>
      </w:r>
      <w:r>
        <w:rPr/>
        <w:t>") or the Government of Canada;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 or the Government of Canada.</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29" w:name="page_14"/>
      <w:bookmarkEnd w:id="29"/>
      <w:r>
        <w:rPr/>
        <w:t xml:space="preserve">(ss) </w:t>
      </w:r>
      <w:r>
        <w:rPr>
          <w:u w:val="single"/>
        </w:rPr>
        <w:t>Exchange Listing</w:t>
      </w:r>
      <w:r>
        <w:rPr/>
        <w:t>. The Common Shares are registered pursuant to Section 12(b) of the Exchange Act and is currently listed on the Exchange under the trading symbol "ANY". Except as disclosed in the Registration Statement and the Prospectus, there is no action pending by the Company or, to the Company's knowledge, the Exchange to delist the Common Shares from the Exchange, nor has the Company received any notification that the Exchange is currently contemplating terminating such listing, except as otherwise disclosed in the Registration Statement and Prospectus. The Company has no intention to delist the Common Shares from the Exchange or to deregister the Common Shares under the Exchange Act, in either case, at any time during the period commencing on the date of this Agreement through and including the 90th calendar day after the termination of this Agreement. The Company has filed with the Exchange a Listing of Additional Shares Notification Form for the offering of the Placement Shares as contemplated in this Agreement. The issuance and sale of the Placement Shares under this Agreement does not contravene the rules and regulations of the Exchange.</w:t>
      </w:r>
    </w:p>
    <w:p>
      <w:pPr>
        <w:pStyle w:val="TextBody"/>
        <w:bidi w:val="0"/>
        <w:spacing w:before="200" w:after="200"/>
        <w:ind w:left="0" w:right="0" w:firstLine="720"/>
        <w:jc w:val="both"/>
        <w:rPr/>
      </w:pPr>
      <w:r>
        <w:rPr/>
        <w:t xml:space="preserve">(tt) </w:t>
      </w:r>
      <w:r>
        <w:rPr>
          <w:u w:val="single"/>
        </w:rPr>
        <w:t>Margin Rules</w:t>
      </w:r>
      <w:r>
        <w:rPr/>
        <w:t>. The Company owns no "margin securities" as that term is defined in Regulation U of the Board of Governors of the Federal Reserve System (the "</w:t>
      </w:r>
      <w:r>
        <w:rPr>
          <w:b/>
          <w:u w:val="single"/>
        </w:rPr>
        <w:t>Federal Reserve Board</w:t>
      </w:r>
      <w:r>
        <w:rPr/>
        <w:t>"), and none of the proceeds from the issuance, sale and delivery of the Placement Shares as contemplated by this Agreement and as described in the Registration Statement and the Prospectus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Common Shares to be considered a "purpose credit" within the meanings of Regulation T, U or X of the Federal Reserve Board.</w:t>
      </w:r>
    </w:p>
    <w:p>
      <w:pPr>
        <w:pStyle w:val="TextBody"/>
        <w:bidi w:val="0"/>
        <w:spacing w:before="200" w:after="200"/>
        <w:ind w:left="0" w:right="0" w:firstLine="720"/>
        <w:jc w:val="both"/>
        <w:rPr/>
      </w:pPr>
      <w:r>
        <w:rPr/>
        <w:t xml:space="preserve">(uu) </w:t>
      </w:r>
      <w:r>
        <w:rPr>
          <w:u w:val="single"/>
        </w:rPr>
        <w:t>Underwriter Agreements</w:t>
      </w:r>
      <w:r>
        <w:rPr/>
        <w:t>. The Company is not a party to any agreement with an agent or underwriter for any other "at-the-market" or continuous equity transaction.</w:t>
      </w:r>
    </w:p>
    <w:p>
      <w:pPr>
        <w:pStyle w:val="TextBody"/>
        <w:bidi w:val="0"/>
        <w:spacing w:before="200" w:after="200"/>
        <w:ind w:left="0" w:right="0" w:firstLine="720"/>
        <w:jc w:val="both"/>
        <w:rPr/>
      </w:pPr>
      <w:r>
        <w:rPr/>
        <w:t xml:space="preserve">(vv) </w:t>
      </w:r>
      <w:r>
        <w:rPr>
          <w:u w:val="single"/>
        </w:rPr>
        <w:t>Board of Directors</w:t>
      </w:r>
      <w:r>
        <w:rPr/>
        <w:t>. The qualifications of the persons serving as board members of the Company and the overall composition of the Company's Board of Directors comply with the applicable requirements of the Exchange Act and the Sarbanes-Oxley Act and the listing rules of the Exchange applicable to the Company. At least one member of the Audit Committee of the Board of Directors of the Company qualifies as an "audit committee financial expert," as such term is defined under Regulation S-K and the listing rules of the Exchange. In addition, at least a majority of the persons serving on the Board of Directors of the Company qualify as "independent," as defined under the listing rules of the Exchange.</w:t>
      </w:r>
    </w:p>
    <w:p>
      <w:pPr>
        <w:pStyle w:val="TextBody"/>
        <w:bidi w:val="0"/>
        <w:spacing w:before="200" w:after="200"/>
        <w:ind w:left="0" w:right="0" w:firstLine="720"/>
        <w:jc w:val="both"/>
        <w:rPr/>
      </w:pPr>
      <w:r>
        <w:rPr/>
        <w:t xml:space="preserve">(ww) </w:t>
      </w:r>
      <w:r>
        <w:rPr>
          <w:u w:val="single"/>
        </w:rPr>
        <w:t>No Integration</w:t>
      </w:r>
      <w:r>
        <w:rPr/>
        <w:t>. Neither the Company, nor any of its affiliates, nor any person acting on its or their behalf has, directly or indirectly, made any offers or sales of any security or solicited any offers to buy any security, under circumstances that would cause the offer and sale of the Placement Shares hereunder to be integrated with prior offerings by the Company for purposes of the Securities Act that would require the registration of any such securities under the Securities Act.</w:t>
      </w:r>
    </w:p>
    <w:p>
      <w:pPr>
        <w:pStyle w:val="TextBody"/>
        <w:bidi w:val="0"/>
        <w:spacing w:before="200" w:after="200"/>
        <w:ind w:left="0" w:right="0" w:firstLine="720"/>
        <w:jc w:val="both"/>
        <w:rPr/>
      </w:pPr>
      <w:r>
        <w:rPr/>
        <w:t xml:space="preserve">(xx) </w:t>
      </w:r>
      <w:r>
        <w:rPr>
          <w:u w:val="single"/>
        </w:rPr>
        <w:t>No Material Defaults</w:t>
      </w:r>
      <w:r>
        <w:rPr/>
        <w:t>. Neither the Company nor any of its subsidiaries has defaulted on any installment on indebtedness for borrowed money or on any rental on one or more long-term leases, which defaults, individually or in the aggregate, could reasonably be expected to result in a Material Adverse Change.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result in a Material Adverse Change.</w:t>
      </w:r>
    </w:p>
    <w:p>
      <w:pPr>
        <w:pStyle w:val="TextBody"/>
        <w:bidi w:val="0"/>
        <w:spacing w:before="200" w:after="200"/>
        <w:ind w:left="0" w:right="0" w:firstLine="720"/>
        <w:jc w:val="both"/>
        <w:rPr/>
      </w:pPr>
      <w:r>
        <w:rPr/>
        <w:t xml:space="preserve">(yy) </w:t>
      </w:r>
      <w:r>
        <w:rPr>
          <w:u w:val="single"/>
        </w:rPr>
        <w:t>Books and Records</w:t>
      </w:r>
      <w:r>
        <w:rPr/>
        <w:t>. The minute books of the Company and each of its subsidiaries have been made available to the Sales Agents and counsel for the Sales Agents, and such books (i) contain a substantially complete summary of all meetings and material actions of the board of directors (including each board committee) and stockholders of the Company (or analogous governing bodies and interest holders, as applicable) and each of its subsidiaries since the time of its respective incorporation or organization through the date of the latest meeting and action, and (ii) accurately reflects in all material respects all transactions referred to in such minutes.</w:t>
      </w:r>
    </w:p>
    <w:p>
      <w:pPr>
        <w:pStyle w:val="TextBody"/>
        <w:bidi w:val="0"/>
        <w:spacing w:before="200" w:after="200"/>
        <w:ind w:left="0" w:right="0" w:firstLine="720"/>
        <w:jc w:val="both"/>
        <w:rPr/>
      </w:pPr>
      <w:r>
        <w:rPr/>
        <w:t xml:space="preserve">(zz) </w:t>
      </w:r>
      <w:r>
        <w:rPr>
          <w:u w:val="single"/>
        </w:rPr>
        <w:t>Regulations</w:t>
      </w:r>
      <w:r>
        <w:rPr/>
        <w:t>. The disclosures in the Registration Statement and the Prospectus concerning the effects of federal, state, local and all foreign regulation on the Company's business in the past and as currently contemplated are correct in all material respects and no other such regulations are required to be disclosed in the Registration Statement and the Prospectus which are not so disclosed.</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0" w:name="page_15"/>
      <w:bookmarkEnd w:id="30"/>
      <w:r>
        <w:rPr/>
        <w:t xml:space="preserve">(aaa) </w:t>
      </w:r>
      <w:r>
        <w:rPr>
          <w:u w:val="single"/>
        </w:rPr>
        <w:t>Regulatory Matters; Compliance</w:t>
      </w:r>
      <w:r>
        <w:rPr/>
        <w:t>. The material terms of all preclinical and other nonclinical studies and clinical trials conducted by or on behalf of the Company that are material to the Company have been adequately described in the Registration Statement or the Prospectus, in all material respects. The clinical trials and nonclinical studies conducted by or on behalf of the Company that are described in the Registration Statement and the Prospectus or the results of such trials and studies which are referred to in the Registration Statement and the Prospectus were and, if still ongoing, are being conducted in material compliance with all laws and regulations applicable thereto in the jurisdictions in which they are being conducted. The descriptions in the Registration Statement and the Prospectus of the results of such trials and studies are accurate and complete in all material respects and fairly present the data derived from such trials and studies, and the Company has no knowledge of any clinical trials the aggregate results of which are inconsistent with or otherwise call into question the results of any clinical trial conducted by or on behalf of the Company that are described in the Registration Statement and the Prospectus or the results of which are referred to in the Registration Statement and the Prospectus. Except as disclosed in the Registration Statement or the Prospectus, the Company has not received any written notices or other communications from the FDA, the European Medicines Agency ("</w:t>
      </w:r>
      <w:r>
        <w:rPr>
          <w:b/>
        </w:rPr>
        <w:t>EMA</w:t>
      </w:r>
      <w:r>
        <w:rPr/>
        <w:t>") or any other governmental agency or authority imposing, requiring, requesting or suggesting a clinical hold, termination, suspension or material modification of any clinical trial that is described in the Registration Statement and the Prospectus or the results of which are referred to in the Registration Statement and the Prospectus. Except as disclosed in the Registration Statement or the Prospectus, the Company has not received any written notices or other communications from the FDA, the EMA or any other governmental agency, and otherwise has no knowledge of, or reason to believe that, (i) any investigational new drug application for a potential product of the Company is or has been rejected or determined to be non-approvable or conditionally approvable; and (ii) any license, approval, permit or authorization to conduct any clinical trial of any potential product of the Company has been, will be or may be suspended, revoked, modified or limited.</w:t>
      </w:r>
    </w:p>
    <w:p>
      <w:pPr>
        <w:pStyle w:val="TextBody"/>
        <w:bidi w:val="0"/>
        <w:spacing w:before="200" w:after="200"/>
        <w:ind w:left="0" w:right="0" w:firstLine="720"/>
        <w:jc w:val="both"/>
        <w:rPr/>
      </w:pPr>
      <w:r>
        <w:rPr/>
        <w:t xml:space="preserve">(bbb) </w:t>
      </w:r>
      <w:r>
        <w:rPr>
          <w:u w:val="single"/>
        </w:rPr>
        <w:t>Information Technology</w:t>
      </w:r>
      <w:r>
        <w:rPr/>
        <w:t>. The Company's information technology assets and equipment, computers, systems, networks, hardware, software, websites, applications, and databases (collectively, "</w:t>
      </w:r>
      <w:r>
        <w:rPr>
          <w:b/>
          <w:u w:val="single"/>
        </w:rPr>
        <w:t>IT Systems</w:t>
      </w:r>
      <w:r>
        <w:rPr/>
        <w:t>") are adequate for, and operate and perform in all material respects as required in connection with, the operation of the business of the Company as currently conducted, except where such failure to operate and perform would not reasonably be expected to result in a Material Adverse Change, and to the knowledge of the Company are free and clear of all material bugs, errors, defects, Trojan horses, time bombs, malware and other corruptants. The Company has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b/>
          <w:u w:val="single"/>
        </w:rPr>
        <w:t>Personal Data</w:t>
      </w:r>
      <w:r>
        <w:rPr/>
        <w:t>")) used in connection with their businesses, and except as would not, individually or in the aggregate, result in a Material Adverse Change,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compliance in all material respects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for any such noncompliance that would not result in a Material Adverse Change. The disclosures in the Registration Statement and the Prospectus concerning the effects of federal, state, local and all foreign regulation on the Company's business in the past and as currently contemplated are correct in all material respects and no other such regulations are required to be disclosed in the Registration Statement and the Prospectus which are not so disclosed.</w:t>
      </w:r>
    </w:p>
    <w:p>
      <w:pPr>
        <w:pStyle w:val="TextBody"/>
        <w:bidi w:val="0"/>
        <w:spacing w:before="200" w:after="200"/>
        <w:ind w:left="0" w:right="0" w:firstLine="720"/>
        <w:jc w:val="both"/>
        <w:rPr/>
      </w:pPr>
      <w:r>
        <w:rPr/>
        <w:t xml:space="preserve">(ccc) </w:t>
      </w:r>
      <w:r>
        <w:rPr>
          <w:u w:val="single"/>
        </w:rPr>
        <w:t>Confidentiality and Non-Competitions</w:t>
      </w:r>
      <w:r>
        <w:rPr/>
        <w:t>. To the Company's knowledge, no director, officer, key employee or consultant of the Company is subject to any confidentiality, non-disclosure, non-competition agreement or non-solicitation agreement with any employer or prior employer that could reasonably be expected to materially affect his ability to be and act in his respective capacity of the Company or be expected to result in a Material Adverse Change.</w:t>
      </w:r>
    </w:p>
    <w:p>
      <w:pPr>
        <w:pStyle w:val="TextBody"/>
        <w:bidi w:val="0"/>
        <w:spacing w:before="200" w:after="200"/>
        <w:ind w:left="0" w:right="0" w:firstLine="720"/>
        <w:jc w:val="both"/>
        <w:rPr/>
      </w:pPr>
      <w:r>
        <w:rPr/>
        <w:t xml:space="preserve">(ddd) </w:t>
      </w:r>
      <w:r>
        <w:rPr>
          <w:u w:val="single"/>
        </w:rPr>
        <w:t>All Necessary Permits, etc</w:t>
      </w:r>
      <w:r>
        <w:rPr/>
        <w:t>. The Company and each of its subsidiaries holds, and is in compliance with, all franchises, grants, authorizations, licenses, permits, easements, consents, certificates and orders ("</w:t>
      </w:r>
      <w:r>
        <w:rPr>
          <w:b/>
          <w:u w:val="single"/>
        </w:rPr>
        <w:t>Permits</w:t>
      </w:r>
      <w:r>
        <w:rPr/>
        <w:t>") of any governmental or self-regulatory agency, authority or body required for the conduct of its business, and all such Permits are in full force and effect.</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1" w:name="page_16"/>
      <w:bookmarkEnd w:id="31"/>
      <w:r>
        <w:rPr/>
        <w:t xml:space="preserve">(eee) </w:t>
      </w:r>
      <w:r>
        <w:rPr>
          <w:u w:val="single"/>
        </w:rPr>
        <w:t>Legality; Enforcement of Foreign Judgements.</w:t>
      </w:r>
      <w:r>
        <w:rPr/>
        <w:t xml:space="preserve"> The legality, validity, enforceability or admissibility into evidence of any of the Registration Statement, the Prospectus, this Agreement or the Placement Shares in any jurisdiction in which the Company is organized or does business is not dependent upon such document being submitted into, filed or recorded with any court or other authority in any such jurisdiction on or before the date that this representation is made or that any tax, imposition or charge be paid in any such jurisdiction on or in respect of any such document. The indemnification and contribution provisions set forth in this Agreement do not contravene the federal laws of Canada or public policy.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declared enforceable against the Company by the courts of Canada, without reconsideration or reexamination of the merits.</w:t>
      </w:r>
    </w:p>
    <w:p>
      <w:pPr>
        <w:pStyle w:val="TextBody"/>
        <w:bidi w:val="0"/>
        <w:spacing w:before="200" w:after="200"/>
        <w:ind w:left="0" w:right="0" w:firstLine="720"/>
        <w:jc w:val="both"/>
        <w:rPr/>
      </w:pPr>
      <w:r>
        <w:rPr/>
        <w:t xml:space="preserve">(fff) </w:t>
      </w:r>
      <w:r>
        <w:rPr>
          <w:u w:val="single"/>
        </w:rPr>
        <w:t>Board Matters</w:t>
      </w:r>
      <w:r>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articles of amalgamation or by-laws, the Business Corporations Act (Ontario) or other applicable Canadian laws that is or could reasonably be expected to become applicable to the Sales Agents as a result of the Sales Agents and the Company fulfilling their obligations or exercising their rights under the Agreement, including, without limitation, the Company's issuance of the Placement Shares.</w:t>
      </w:r>
    </w:p>
    <w:p>
      <w:pPr>
        <w:pStyle w:val="TextBody"/>
        <w:bidi w:val="0"/>
        <w:spacing w:before="200" w:after="200"/>
        <w:jc w:val="both"/>
        <w:rPr/>
      </w:pPr>
      <w:r>
        <w:rPr/>
        <w:t>Any certificate signed by an officer of the Company and delivered to the Sales Agents or to counsel for the Sales Agents pursuant to or in connection with this Agreement shall be deemed to be a representation and warranty by the Company to the Sales Agents as to the matters set forth therein.</w:t>
      </w:r>
    </w:p>
    <w:p>
      <w:pPr>
        <w:pStyle w:val="TextBody"/>
        <w:bidi w:val="0"/>
        <w:spacing w:before="200" w:after="200"/>
        <w:jc w:val="both"/>
        <w:rPr/>
      </w:pPr>
      <w:r>
        <w:rPr/>
        <w:t xml:space="preserve">The Company acknowledges that the Sales Agents and, for purposes of the opinions to be delivered pursuant to </w:t>
      </w:r>
      <w:r>
        <w:rPr>
          <w:u w:val="single"/>
        </w:rPr>
        <w:t>Section 7</w:t>
      </w:r>
      <w:r>
        <w:rPr/>
        <w:t xml:space="preserve"> hereof, counsel to the Company and counsel to the Sales Agents, will rely upon the accuracy and truthfulness of the foregoing representations and hereby consents to such reliance.</w:t>
      </w:r>
    </w:p>
    <w:p>
      <w:pPr>
        <w:pStyle w:val="TextBody"/>
        <w:bidi w:val="0"/>
        <w:spacing w:before="200" w:after="200"/>
        <w:ind w:left="0" w:right="0" w:firstLine="720"/>
        <w:jc w:val="both"/>
        <w:rPr/>
      </w:pPr>
      <w:r>
        <w:rPr/>
        <w:t xml:space="preserve">7. </w:t>
      </w:r>
      <w:r>
        <w:rPr>
          <w:u w:val="single"/>
        </w:rPr>
        <w:t>Covenants of the Company</w:t>
      </w:r>
      <w:r>
        <w:rPr/>
        <w:t>. The Company covenants and agrees with the Sales Agents that:</w:t>
      </w:r>
    </w:p>
    <w:p>
      <w:pPr>
        <w:pStyle w:val="TextBody"/>
        <w:bidi w:val="0"/>
        <w:spacing w:before="200" w:after="200"/>
        <w:ind w:left="0" w:right="0" w:firstLine="720"/>
        <w:jc w:val="both"/>
        <w:rPr/>
      </w:pPr>
      <w:r>
        <w:rPr/>
        <w:t xml:space="preserve">(a) </w:t>
      </w:r>
      <w:r>
        <w:rPr>
          <w:u w:val="single"/>
        </w:rPr>
        <w:t>Registration Statement Amendments</w:t>
      </w:r>
      <w:r>
        <w:rPr/>
        <w:t>. After the date of this Agreement and during any period in which a Prospectus relating to any Placement Shares is required to be delivered by the Sales Agents under the Securities Act (including in circumstances where such requirement may be satisfied pursuant to Rule 153 or Rule 172 under the Securities Act), (i) the Company will notify the Sales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Sales Agents' reasonable request, any amendments or supplements to the Registration Statement or Prospectus that, in the Sales Agents' reasonable opinion, may be necessary or advisable in connection with the distribution of the Placement Shares by the Sales Agents (</w:t>
      </w:r>
      <w:r>
        <w:rPr>
          <w:i/>
        </w:rPr>
        <w:t>provided</w:t>
      </w:r>
      <w:r>
        <w:rPr/>
        <w:t xml:space="preserve">, </w:t>
      </w:r>
      <w:r>
        <w:rPr>
          <w:i/>
        </w:rPr>
        <w:t>however</w:t>
      </w:r>
      <w:r>
        <w:rPr/>
        <w:t xml:space="preserve">, that the failure of the Sales Agents to make such request shall not relieve the Company of any obligation or liability hereunder, or affect the Sales Agents' right to rely on the representations and warranties made by the Company in this Agreement, and </w:t>
      </w:r>
      <w:r>
        <w:rPr>
          <w:i/>
        </w:rPr>
        <w:t>provided</w:t>
      </w:r>
      <w:r>
        <w:rPr/>
        <w:t xml:space="preserve">, </w:t>
      </w:r>
      <w:r>
        <w:rPr>
          <w:i/>
        </w:rPr>
        <w:t>further</w:t>
      </w:r>
      <w:r>
        <w:rPr/>
        <w:t>, that the only remedy the Sales Agents shall have with respect to the failure to make such filing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the Sales Agents within a reasonable period of time before the filing and the Sales Agents have not reasonably objected thereto (</w:t>
      </w:r>
      <w:r>
        <w:rPr>
          <w:i/>
        </w:rPr>
        <w:t>provided</w:t>
      </w:r>
      <w:r>
        <w:rPr/>
        <w:t xml:space="preserve">, </w:t>
      </w:r>
      <w:r>
        <w:rPr>
          <w:i/>
        </w:rPr>
        <w:t>however</w:t>
      </w:r>
      <w:r>
        <w:rPr/>
        <w:t xml:space="preserve">, that the failure of the Sales Agents to make such objection shall not relieve the Company of any obligation or liability hereunder, or affect the Sales Agents' right to rely on the representations and warranties made by the Company in this Agreement, and </w:t>
      </w:r>
      <w:r>
        <w:rPr>
          <w:i/>
        </w:rPr>
        <w:t>provided</w:t>
      </w:r>
      <w:r>
        <w:rPr/>
        <w:t xml:space="preserve">, </w:t>
      </w:r>
      <w:r>
        <w:rPr>
          <w:i/>
        </w:rPr>
        <w:t>further</w:t>
      </w:r>
      <w:r>
        <w:rPr/>
        <w:t>, that the only remedy the Sales Agents shall have with respect to the failure by the Company to obtain such consent shall be to cease making sales under this Agreement); (iv) the Company will furnish to the Sales Agents at the time of filing thereof a copy of any document that upon filing is deemed to be incorporated by reference into the Registration Statement or Prospectus, except for those documents available via EDGAR; and (v)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 or, in the case of any documents incorporated by reference, to be filed with the Commission as required pursuant to the Exchange Act, within the time period prescribed.</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2" w:name="page_17"/>
      <w:bookmarkEnd w:id="32"/>
      <w:r>
        <w:rPr/>
        <w:t xml:space="preserve">(b) </w:t>
      </w:r>
      <w:r>
        <w:rPr>
          <w:u w:val="single"/>
        </w:rPr>
        <w:t>Notice of Commission Stop Orders</w:t>
      </w:r>
      <w:r>
        <w:rPr/>
        <w:t>. The Company will advise the Sales Agents, promptly after it receives notice or obtains knowledge thereof, of the issuance by the Commission of any stop order suspending the effectiveness of the Registration Statement or any notice objecting to, or other order preventing or suspending the use of, the Prospectus, of the suspension of the qualification of the Placement Shares for offering or sale in any jurisdiction, or of the initiation of any proceeding for any such purpose or any examination pursuant to Section 8(e) of the Securities Act, or if the Company becomes the subject of a proceeding under Section 8A of the Securities Act in connection with the offering of the Placement Shares; and it will promptly use its commercially reasonable efforts to prevent the issuance of any stop order or to obtain its withdrawal if such a stop order should be issued. Until such time as any stop order is lifted, the Sales Agents shall cease making offers and sales under this Agreement.</w:t>
      </w:r>
    </w:p>
    <w:p>
      <w:pPr>
        <w:pStyle w:val="TextBody"/>
        <w:bidi w:val="0"/>
        <w:spacing w:before="200" w:after="200"/>
        <w:ind w:left="0" w:right="0" w:firstLine="720"/>
        <w:jc w:val="both"/>
        <w:rPr/>
      </w:pPr>
      <w:r>
        <w:rPr/>
        <w:t xml:space="preserve">(c) </w:t>
      </w:r>
      <w:r>
        <w:rPr>
          <w:u w:val="single"/>
        </w:rPr>
        <w:t>Delivery of Prospectus; Subsequent Changes</w:t>
      </w:r>
      <w:r>
        <w:rPr/>
        <w:t xml:space="preserve">. During any period in which a Prospectus relating to the Placement Shares is required to be delivered by the Sales Agents under the Securities Act with respect to a pending sale of the Placement Shares (including in circumstances where such requirement may be satisfied pursuant to Rule 153 or Rule 172 under the Securities Act), the Company will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Designated Sales Agent to suspend the offering of Placement Shares during such period and the Company will promptly amend or supplement the Registration Statement or Prospectus (at the expense of the Company) so as to correct such statement or omission or effect such compliance; </w:t>
      </w:r>
      <w:r>
        <w:rPr>
          <w:i/>
        </w:rPr>
        <w:t>provided</w:t>
      </w:r>
      <w:r>
        <w:rPr/>
        <w:t xml:space="preserve">, </w:t>
      </w:r>
      <w:r>
        <w:rPr>
          <w:i/>
        </w:rPr>
        <w:t>however</w:t>
      </w:r>
      <w:r>
        <w:rPr/>
        <w:t>, that the Company may delay any such amendment or supplement if, in the reasonable judgment of the Company, it is in the best interests of the Company to do so.</w:t>
      </w:r>
    </w:p>
    <w:p>
      <w:pPr>
        <w:pStyle w:val="TextBody"/>
        <w:bidi w:val="0"/>
        <w:spacing w:before="200" w:after="200"/>
        <w:ind w:left="0" w:right="0" w:firstLine="720"/>
        <w:jc w:val="both"/>
        <w:rPr/>
      </w:pPr>
      <w:r>
        <w:rPr/>
        <w:t xml:space="preserve">(d) </w:t>
      </w:r>
      <w:r>
        <w:rPr>
          <w:u w:val="single"/>
        </w:rPr>
        <w:t>Listing of Placement Shares</w:t>
      </w:r>
      <w:r>
        <w:rPr/>
        <w:t xml:space="preserve">. During any period in which the Prospectus relating to the Placement Shares is required to be delivered by the Sales Agents under the Securities Act with respect to a pending sale of the Placement Shares (including in circumstances where such requirement may be satisfied pursuant to Rule 153 or Rule 172 under the Securities Act), the Company will use its commercially reasonable efforts to cause the Placement Shares to be listed on the Exchange and to qualify the Placement Shares for sale under the securities laws of such jurisdictions as the Sales Agents reasonably designate and to continue such qualifications in effect so long as required for the distribution of the Placement Shares; </w:t>
      </w:r>
      <w:r>
        <w:rPr>
          <w:i/>
        </w:rPr>
        <w:t>provided</w:t>
      </w:r>
      <w:r>
        <w:rPr/>
        <w:t xml:space="preserve">, </w:t>
      </w:r>
      <w:r>
        <w:rPr>
          <w:i/>
        </w:rPr>
        <w:t>however</w:t>
      </w:r>
      <w:r>
        <w:rPr/>
        <w:t>, that the Company shall not be required in connection therewith to qualify as a foreign corporation or dealer in securities or file a general consent to service of process in any jurisdiction.</w:t>
      </w:r>
    </w:p>
    <w:p>
      <w:pPr>
        <w:pStyle w:val="TextBody"/>
        <w:bidi w:val="0"/>
        <w:spacing w:before="200" w:after="200"/>
        <w:ind w:left="0" w:right="0" w:firstLine="720"/>
        <w:jc w:val="both"/>
        <w:rPr/>
      </w:pPr>
      <w:r>
        <w:rPr/>
        <w:t xml:space="preserve">(e) </w:t>
      </w:r>
      <w:r>
        <w:rPr>
          <w:u w:val="single"/>
        </w:rPr>
        <w:t>Delivery of Registration Statement and Prospectus</w:t>
      </w:r>
      <w:r>
        <w:rPr/>
        <w:t xml:space="preserve">. The Company will furnish to the Sales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Sales Agents may from time to time reasonably request and, at the Sales Agents' request, will also furnish copies of the Prospectus to each exchange or market on which sales of the Placement Shares may be made; </w:t>
      </w:r>
      <w:r>
        <w:rPr>
          <w:i/>
        </w:rPr>
        <w:t>provided</w:t>
      </w:r>
      <w:r>
        <w:rPr/>
        <w:t xml:space="preserve">, </w:t>
      </w:r>
      <w:r>
        <w:rPr>
          <w:i/>
        </w:rPr>
        <w:t>however</w:t>
      </w:r>
      <w:r>
        <w:rPr/>
        <w:t>, that the Company shall not be required to furnish any document (other than the Prospectus) to the Sales Agents to the extent such document is available on EDGAR.</w:t>
      </w:r>
    </w:p>
    <w:p>
      <w:pPr>
        <w:pStyle w:val="TextBody"/>
        <w:bidi w:val="0"/>
        <w:spacing w:before="200" w:after="200"/>
        <w:ind w:left="0" w:right="0" w:firstLine="720"/>
        <w:jc w:val="both"/>
        <w:rPr/>
      </w:pPr>
      <w:r>
        <w:rPr/>
        <w:t xml:space="preserve">(f) </w:t>
      </w:r>
      <w:r>
        <w:rPr>
          <w:u w:val="single"/>
        </w:rPr>
        <w:t>Earnings Statement</w:t>
      </w:r>
      <w:r>
        <w:rPr/>
        <w:t>. The Company will make generally available to its security holders as soon as practicable, but in any event not later than 15 months after the end of the Company's current fiscal quarter, an earnings statement of the Company and its subsidiaries (which need not be audited) covering a 12-month period that complies with Section 11(a) and Rule 158 of the Securities Act. The terms "earnings statement" and "make generally available to its security holders" shall have the meanings set forth in Rule 158 under the Securities Act.</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3" w:name="page_18"/>
      <w:bookmarkEnd w:id="33"/>
      <w:r>
        <w:rPr/>
        <w:t xml:space="preserve">(g) </w:t>
      </w:r>
      <w:r>
        <w:rPr>
          <w:u w:val="single"/>
        </w:rPr>
        <w:t>Expenses</w:t>
      </w:r>
      <w:r>
        <w:rPr/>
        <w:t xml:space="preserve">. The Company, whether or not the transactions contemplated hereunder are consummated or this Agreement is terminated in accordance with the provisions of </w:t>
      </w:r>
      <w:r>
        <w:rPr>
          <w:u w:val="single"/>
        </w:rPr>
        <w:t>Section 11</w:t>
      </w:r>
      <w:r>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including any stock or other transfer taxes and any stamp or other duties payable upon the sale, issuance or delivery of the Placement Shares to the Sales Agents, (iii) the fees and disbursements of the counsel, accountants and other advisors to the Company in connection with the transactions contemplated by this Agreement; (iv) the qualification of the Placement Shares under securities laws in accordance with the provisions of </w:t>
      </w:r>
      <w:r>
        <w:rPr>
          <w:u w:val="single"/>
        </w:rPr>
        <w:t>Section 7(d)</w:t>
      </w:r>
      <w:r>
        <w:rPr/>
        <w:t xml:space="preserve"> of this Agreement, including filing fees (</w:t>
      </w:r>
      <w:r>
        <w:rPr>
          <w:i/>
        </w:rPr>
        <w:t>provided</w:t>
      </w:r>
      <w:r>
        <w:rPr/>
        <w:t xml:space="preserve">, </w:t>
      </w:r>
      <w:r>
        <w:rPr>
          <w:i/>
        </w:rPr>
        <w:t>however</w:t>
      </w:r>
      <w:r>
        <w:rPr/>
        <w:t>, that any fees or disbursements of counsel for the Sales Agents in connection therewith shall be paid by the Sales Agents except as set forth in (ix) below), (v) the printing and delivery to the Sales Agents of copies of the Prospectus and any amendments or supplements thereto, and of this Agreement, (vi) the fees and expenses incurred in connection with the listing or qualification of the Placement Shares for trading on the Exchange, (vii) the fees and expenses of the transfer agent or registrar for the Common Shares; (viii) filing fees and expenses, if any, of the Commission and the FINRA Corporate Financing Department (</w:t>
      </w:r>
      <w:r>
        <w:rPr>
          <w:i/>
        </w:rPr>
        <w:t>provided</w:t>
      </w:r>
      <w:r>
        <w:rPr/>
        <w:t xml:space="preserve">, </w:t>
      </w:r>
      <w:r>
        <w:rPr>
          <w:i/>
        </w:rPr>
        <w:t>however</w:t>
      </w:r>
      <w:r>
        <w:rPr/>
        <w:t xml:space="preserve">, that any fees or disbursements of counsel for the Sales Agents in connection therewith shall be paid by the Sales Agents except as set forth in (ix) below) and (ix) the Company shall reimburse the Sales Agents for its reasonable and documented out-of-pocket costs and expenses (including but not limited to the reasonable fees and documented out-of-pocket costs and expenses of counsel to the Sales Agents) in an amount not to exceed $40,000; </w:t>
      </w:r>
      <w:r>
        <w:rPr>
          <w:i/>
        </w:rPr>
        <w:t>provided further</w:t>
      </w:r>
      <w:r>
        <w:rPr/>
        <w:t xml:space="preserve"> that the Company shall reimburse the Sales Agents for its expenses (including but not limited to the reasonable fees and documented out-of-pocket costs and expenses of counsel to the Sales Agents) on an annual basis in an amount not to exceed $10,000.</w:t>
      </w:r>
    </w:p>
    <w:p>
      <w:pPr>
        <w:pStyle w:val="TextBody"/>
        <w:bidi w:val="0"/>
        <w:spacing w:before="200" w:after="200"/>
        <w:ind w:left="0" w:right="0" w:firstLine="720"/>
        <w:jc w:val="both"/>
        <w:rPr/>
      </w:pPr>
      <w:r>
        <w:rPr/>
        <w:t xml:space="preserve">(h) </w:t>
      </w:r>
      <w:r>
        <w:rPr>
          <w:u w:val="single"/>
        </w:rPr>
        <w:t>Use of Proceeds</w:t>
      </w:r>
      <w:r>
        <w:rPr/>
        <w:t>. The Company will use the Net Proceeds as described in the Prospectus in the section entitled "Use of Proceeds."</w:t>
      </w:r>
    </w:p>
    <w:p>
      <w:pPr>
        <w:pStyle w:val="TextBody"/>
        <w:bidi w:val="0"/>
        <w:spacing w:before="200" w:after="200"/>
        <w:ind w:left="0" w:right="0" w:firstLine="720"/>
        <w:jc w:val="both"/>
        <w:rPr/>
      </w:pPr>
      <w:r>
        <w:rPr/>
        <w:t xml:space="preserve">(i) </w:t>
      </w:r>
      <w:r>
        <w:rPr>
          <w:u w:val="single"/>
        </w:rPr>
        <w:t>Notice of Other Sales</w:t>
      </w:r>
      <w:r>
        <w:rPr/>
        <w:t xml:space="preserve">. The Company (I) shall provide the Sales Agents notice at least </w:t>
      </w:r>
      <w:r>
        <w:rPr>
          <w:shd w:fill="FFFFFF" w:val="clear"/>
        </w:rPr>
        <w:t>two (2) days,</w:t>
      </w:r>
      <w:r>
        <w:rPr/>
        <w:t xml:space="preserve"> before it offers to sell, contracts to sell, sells, grants any option to sell or otherwise disposes of any Common Shares (other than Placement Shares offered pursuant to the provisions of this Agreement) or securities convertible into or exchangeable for Common Shares, or warrants or any rights to purchase or acquire Common Shares, during the period beginning on the fifth (5</w:t>
      </w:r>
      <w:r>
        <w:rPr>
          <w:position w:val="8"/>
          <w:sz w:val="19"/>
        </w:rPr>
        <w:t>th</w:t>
      </w:r>
      <w:r>
        <w:rPr/>
        <w:t>) Trading Day immediately prior to the date on which any Placement Notice is delivered to the Sales Agents hereunder and ending on the fifth (5</w:t>
      </w:r>
      <w:r>
        <w:rPr>
          <w:position w:val="8"/>
          <w:sz w:val="19"/>
        </w:rPr>
        <w:t>th</w:t>
      </w:r>
      <w:r>
        <w:rPr/>
        <w:t>) Trading Day immediately following the final Settlement Date with respect to Placement Shares sold pursuant to such Placement Notice (or, if the Placement Notice has been terminated or suspended prior to the sale of all Placement Shares covered by a Placement Notice, the fifth (5</w:t>
      </w:r>
      <w:r>
        <w:rPr>
          <w:position w:val="8"/>
          <w:sz w:val="19"/>
        </w:rPr>
        <w:t>th</w:t>
      </w:r>
      <w:r>
        <w:rPr/>
        <w:t xml:space="preserve">) Trading Day immediately following the date of such suspension or termination), and (II) will not directly or indirectly enter into or utilize any other "at-the-market" or continuous equity transaction offer to sell, sell, contract to sell, grant any option to sell or otherwise dispose of any Common Shares (other than the Placement Shares offered pursuant to this Agreement) or securities convertible into or exchangeable for Common Shares, warrants or any rights to purchase or acquire, Common Shares prior to the termination of this Agreement; </w:t>
      </w:r>
      <w:r>
        <w:rPr>
          <w:i/>
        </w:rPr>
        <w:t>provided</w:t>
      </w:r>
      <w:r>
        <w:rPr/>
        <w:t xml:space="preserve">, </w:t>
      </w:r>
      <w:r>
        <w:rPr>
          <w:i/>
        </w:rPr>
        <w:t>however</w:t>
      </w:r>
      <w:r>
        <w:rPr/>
        <w:t>, that such notice requirements or restrictions, as the case may be, will not be required in connection with the Company's issuance or sale of (i) Common Shares, options to purchase Common Shares, other equity awards or Common shares issuable upon the exercise of options or other equity awards, pursuant to any employee or director stock option or benefits plan, stock ownership plan or dividend reinvestment plan of the Company whether now in effect or hereafter implemented, (ii) Common Shares issuable upon exchange, conversion or redemption of securities or the exercise of warrants, options or other rights in effect or outstanding, and disclosed in filings by the Company available on EDGAR or otherwise in writing (including by e-mail correspondence) to the Sales Agents and (iii) Common Shares or securities convertible into or exchangeable for Common Shares as consideration for mergers, acquisitions, sale or purchase of assets, other business combinations or strategic alliances, vendor, consultant, customer or other comparable transactions occurring after the date of this Agreement which are not issued for capital raising purposes.</w:t>
      </w:r>
    </w:p>
    <w:p>
      <w:pPr>
        <w:pStyle w:val="TextBody"/>
        <w:bidi w:val="0"/>
        <w:spacing w:before="200" w:after="200"/>
        <w:ind w:left="0" w:right="0" w:firstLine="720"/>
        <w:jc w:val="both"/>
        <w:rPr/>
      </w:pPr>
      <w:r>
        <w:rPr/>
        <w:t xml:space="preserve">(j) </w:t>
      </w:r>
      <w:r>
        <w:rPr>
          <w:u w:val="single"/>
        </w:rPr>
        <w:t>Change of Circumstances</w:t>
      </w:r>
      <w:r>
        <w:rPr/>
        <w:t>. The Company will, at any time during a fiscal quarter in which the Company intends to tender a Placement Notice or sell Placement Shares, advise the Sales Agents promptly after it shall have received notice or obtained knowledge thereof, of any information or fact that would alter or affect in any material respect any opinion, certificate, letter or other document provided to the Sales Agents pursuant to this Agreement.</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4" w:name="page_19"/>
      <w:bookmarkEnd w:id="34"/>
      <w:r>
        <w:rPr/>
        <w:t xml:space="preserve">(k) </w:t>
      </w:r>
      <w:r>
        <w:rPr>
          <w:u w:val="single"/>
        </w:rPr>
        <w:t>Due Diligence Cooperation</w:t>
      </w:r>
      <w:r>
        <w:rPr/>
        <w:t>. The Company will cooperate with any reasonable due diligence review conducted by the Sales Agents or their agents in connection with the transactions contemplated hereby, including, without limitation, providing information and making available documents and senior corporate officers, during regular business hours and at the Company's principal offices, as the Sales Agents may reasonably request.</w:t>
      </w:r>
    </w:p>
    <w:p>
      <w:pPr>
        <w:pStyle w:val="TextBody"/>
        <w:bidi w:val="0"/>
        <w:spacing w:before="200" w:after="200"/>
        <w:ind w:left="0" w:right="0" w:firstLine="720"/>
        <w:jc w:val="both"/>
        <w:rPr/>
      </w:pPr>
      <w:r>
        <w:rPr/>
        <w:t xml:space="preserve">(l) </w:t>
      </w:r>
      <w:r>
        <w:rPr>
          <w:u w:val="single"/>
        </w:rPr>
        <w:t>Required Filings Relating to Placement of Placement Shares</w:t>
      </w:r>
      <w:r>
        <w:rPr/>
        <w:t>. The Company shall set forth in each Annual Report on Form 10-K and Quarterly Report on Form 10-Q filed by the Company with the Commission in respect of any quarter in which sales of Placement Shares were made by or through the Sales Agents under this Agreement, with regard to the relevant period, the amount of Placement Shares sold to or through the Sales Agents, the Net Proceeds to the Company and the compensation payable by the Company to the Sales Agents with respect to such sales of Placement Shares. To the extent that the filing of a prospectus supplement with the Commission with respect to any sales of Placement Shares becomes required under Rule 424(b) under the Securities Act, the Company agrees that, on or before such dates as the Securities Act shall require, the Company will (i) file a prospectus supplement with the Commission under the applicable paragraph of Rule 424(b) under the Securities Act, which prospectus supplement will set forth, with regard to the relevant period, the amount of Placement Shares sold to or through the Sales Agents, the Net Proceeds to the Company and the compensation payable by the Company to the Sales Agents with respect to such Placement Shares, and (ii) deliver such number of copies of each such prospectus supplement to each exchange or market on which such sales were effected as may be required by the rules or regulations of such exchange or market. The Company shall afford the Sales Agents and their counsel with a reasonable opportunity to review and comment upon, shall consult with the Sales Agents and their counsel on the form and substance of, and shall give due consideration to all such comments from the Sales Agents or their counsel on, any such filing prior to the issuance, filing or public disclosure thereof; provided, however, that the Company shall not be required to submit for review (A) any portion of any periodic reports filed with the Commission under the Exchange Act other than the specific disclosure relating to any sales of Placement Shares and (B) any disclosure contained in periodic reports filed with the Commission under the Exchange Act if it shall have previously provided the same disclosure for review in connection with a previous filing.</w:t>
      </w:r>
    </w:p>
    <w:p>
      <w:pPr>
        <w:pStyle w:val="TextBody"/>
        <w:bidi w:val="0"/>
        <w:spacing w:before="200" w:after="200"/>
        <w:ind w:left="0" w:right="0" w:firstLine="720"/>
        <w:jc w:val="both"/>
        <w:rPr/>
      </w:pPr>
      <w:r>
        <w:rPr/>
        <w:t xml:space="preserve">(m) </w:t>
      </w:r>
      <w:r>
        <w:rPr>
          <w:u w:val="single"/>
        </w:rPr>
        <w:t>Representation Dates; Certificate</w:t>
      </w:r>
      <w:r>
        <w:rPr/>
        <w:t xml:space="preserve">. On or prior to the date the first Placement Notice is given hereunder and each time the Company (i) files the Prospectus relating to the Placement Shares or amends or supplements the Registration Statement or the Prospectus relating to the Placement Shares (other than (A) a prospectus supplement filed in accordance with </w:t>
      </w:r>
      <w:r>
        <w:rPr>
          <w:u w:val="single"/>
        </w:rPr>
        <w:t>Section 7(l)</w:t>
      </w:r>
      <w:r>
        <w:rPr/>
        <w:t xml:space="preserve"> of this Agreement or (B) a supplement or amendment that relates to an offering of securities other than the Placement Shares) by means of a post-effective amendment, sticker, or supplement but not by means of incorporation of document(s) by reference to the Registration Statement or the Prospectus relating to the Placement Shares; (ii) files an annual report on Form 10-K under the Exchange Act (including any Form 10-K/A containing amended financial information or a material amendment to the previously filed Form 10-K); (iii) files a quarterly report on Form 10-Q under the Exchange Act; or (iv) files a current report on Form 8-K containing amended financial information (other than an earnings release, to "furnish" information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b/>
          <w:u w:val="single"/>
        </w:rPr>
        <w:t>Representation Date</w:t>
      </w:r>
      <w:r>
        <w:rPr/>
        <w:t xml:space="preserve">"), the Company shall furnish the Sales Agents within three (3) Trading Days after each Representation Date with a certificate, in the form attached hereto as </w:t>
      </w:r>
      <w:r>
        <w:rPr>
          <w:u w:val="single"/>
        </w:rPr>
        <w:t>Exhibit 7(m)</w:t>
      </w:r>
      <w:r>
        <w:rPr/>
        <w:t xml:space="preserve">. The requirement to provide a certificate under this </w:t>
      </w:r>
      <w:r>
        <w:rPr>
          <w:u w:val="single"/>
        </w:rPr>
        <w:t>Section 7(m)</w:t>
      </w:r>
      <w:r>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w:t>
      </w:r>
      <w:r>
        <w:rPr>
          <w:i/>
        </w:rPr>
        <w:t xml:space="preserve">provided, however, </w:t>
      </w:r>
      <w:r>
        <w:rPr/>
        <w:t xml:space="preserve">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the Sales Agents with a certificate under this </w:t>
      </w:r>
      <w:r>
        <w:rPr>
          <w:u w:val="single"/>
        </w:rPr>
        <w:t>Section 7(m)</w:t>
      </w:r>
      <w:r>
        <w:rPr/>
        <w:t xml:space="preserve">, then before the Company delivers the Placement Notice or the Sales Agents sell any Placement Shares, the Company shall provide the Sales Agents with a certificate, in the form attached hereto as </w:t>
      </w:r>
      <w:r>
        <w:rPr>
          <w:u w:val="single"/>
        </w:rPr>
        <w:t>Exhibit 7(m)</w:t>
      </w:r>
      <w:r>
        <w:rPr/>
        <w:t>, dated the date of the Placement Notice.</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5" w:name="page_20"/>
      <w:bookmarkEnd w:id="35"/>
      <w:r>
        <w:rPr/>
        <w:t xml:space="preserve">(n) </w:t>
      </w:r>
      <w:r>
        <w:rPr>
          <w:u w:val="single"/>
        </w:rPr>
        <w:t>Legal Opinions</w:t>
      </w:r>
      <w:r>
        <w:rPr/>
        <w:t>. On or prior to the date the first Placement Notice is given hereunder, the Company shall cause to be furnished to the Sales Agents (i) the negative assurance of Greenberg Traurig, P.A., as counsel to the Company, or other counsel reasonably satisfactory to the Sales Agents ("</w:t>
      </w:r>
      <w:r>
        <w:rPr>
          <w:b/>
          <w:u w:val="single"/>
        </w:rPr>
        <w:t>U.S</w:t>
      </w:r>
      <w:r>
        <w:rPr>
          <w:u w:val="single"/>
        </w:rPr>
        <w:t xml:space="preserve">. </w:t>
      </w:r>
      <w:r>
        <w:rPr>
          <w:b/>
          <w:u w:val="single"/>
        </w:rPr>
        <w:t>Company Counsel</w:t>
      </w:r>
      <w:r>
        <w:rPr/>
        <w:t>") and (ii) a written opinion of DuMoulin Black LLP, Canadian counsel for the Company ("</w:t>
      </w:r>
      <w:r>
        <w:rPr>
          <w:b/>
          <w:u w:val="single"/>
        </w:rPr>
        <w:t>Canadian Company Counsel</w:t>
      </w:r>
      <w:r>
        <w:rPr/>
        <w:t xml:space="preserve">"), in each case in a form to be agreed between the Company and the Sales Agents. Thereafter, within three (3) Trading Days after each Representation Date with respect to which the Company is obligated to deliver a certificate pursuant to </w:t>
      </w:r>
      <w:r>
        <w:rPr>
          <w:u w:val="single"/>
        </w:rPr>
        <w:t>Section 7(m)</w:t>
      </w:r>
      <w:r>
        <w:rPr/>
        <w:t xml:space="preserve"> for which no waiver is applicable pursuant to </w:t>
      </w:r>
      <w:r>
        <w:rPr>
          <w:u w:val="single"/>
        </w:rPr>
        <w:t>Section 7(m)</w:t>
      </w:r>
      <w:r>
        <w:rPr/>
        <w:t xml:space="preserve">, the Company shall cause to be furnished to the Sales Agents the written opinion and negative assurance of the Company Counsel substantially in the forms previously agreed between the Company and the Sales Agents, modified, as necessary, to relate to the Registration Statement and the Prospectus as then amended or supplemented and within three (3) Trading Days after the Representation Date with respect to which the Company is obligated to deliver a certificate pursuant to Section 7(m) for which no waiver is applicable pursuant to Section 7(m), other than a Representation Date under Section 7(m)(iv); </w:t>
      </w:r>
      <w:r>
        <w:rPr>
          <w:i/>
        </w:rPr>
        <w:t>provided</w:t>
      </w:r>
      <w:r>
        <w:rPr/>
        <w:t xml:space="preserve">, </w:t>
      </w:r>
      <w:r>
        <w:rPr>
          <w:i/>
        </w:rPr>
        <w:t>however</w:t>
      </w:r>
      <w:r>
        <w:rPr/>
        <w:t>, that if the U.S Company Counsel and/or Canadian Company Counsel have previously furnished to the Sales Agents such written opinion and negative assurance of such counsel, in each case substantially in the forms previously agreed between the Company and the Sales Agents, then the U.S. Company Counsel or Canadian Company Counsel, as applicable, may, in respect of any future Representation Date, furnish the Sales Agents with a letter signed by such counsel (each, a "</w:t>
      </w:r>
      <w:r>
        <w:rPr>
          <w:b/>
          <w:u w:val="single"/>
        </w:rPr>
        <w:t>Reliance Letter</w:t>
      </w:r>
      <w:r>
        <w:rPr/>
        <w:t xml:space="preserve">") in lieu of such opinion and negative assurance of such counsel to the effect that the Sales Agents may rely on the prior opinion and negative assurance of such counsel delivered pursuant to this </w:t>
      </w:r>
      <w:r>
        <w:rPr>
          <w:u w:val="single"/>
        </w:rPr>
        <w:t>Section 7(n)</w:t>
      </w:r>
      <w:r>
        <w:rPr/>
        <w:t xml:space="preserve"> to the same extent as if it were dated the date of such Reliance Letter (except that statements in such prior opinion and negative assurance shall be deemed to relate to the Registration Statement and the Prospectus as amended or supplemented to the date of such Reliance Letter).</w:t>
      </w:r>
    </w:p>
    <w:p>
      <w:pPr>
        <w:pStyle w:val="TextBody"/>
        <w:bidi w:val="0"/>
        <w:spacing w:before="200" w:after="200"/>
        <w:ind w:left="0" w:right="0" w:firstLine="720"/>
        <w:jc w:val="both"/>
        <w:rPr/>
      </w:pPr>
      <w:r>
        <w:rPr/>
        <w:t xml:space="preserve">(o) </w:t>
      </w:r>
      <w:r>
        <w:rPr>
          <w:u w:val="single"/>
        </w:rPr>
        <w:t>Comfort Letter</w:t>
      </w:r>
      <w:r>
        <w:rPr/>
        <w:t>. On or prior to the date the first Placement Notice is given hereunder and within three (3) Trading Days after the subsequent Representation Date with respect to which the Company is obligated to deliver a certificate pursuant to Section 7(m), other than a Representation Date under Section 7(m)(iii)-(iv) unless with respect to a Representation Date under Section 7(m)(iv) the Sales Agents reasonably requests delivery thereof, the Company shall cause its independent accountants to furnish the Sales Agents letters (the "</w:t>
      </w:r>
      <w:r>
        <w:rPr>
          <w:b/>
          <w:u w:val="single"/>
        </w:rPr>
        <w:t>Comfort Letters</w:t>
      </w:r>
      <w:r>
        <w:rPr/>
        <w:t>"), dated the date that the Comfort Letter is delivered, in form and substance satisfactory to the Sales Agents, (i) confirming that they are an independent registered public accounting firm within the meaning of the Securities Act, the Exchange Act and the rules and regulations of the PCAOB and are in compliance with the applicable requirements relating to the qualification of accountants under Rule 2-01 of Regulation S-X of the Commission, (ii) stating, as of such date, the conclusions and findings of such firm with respect to the financial information and other matters ordinarily covered by accountants' "comfort letters" to the Sales Agents in connection with registered public offerings (the first such letter, the "</w:t>
      </w:r>
      <w:r>
        <w:rPr>
          <w:b/>
          <w:u w:val="single"/>
        </w:rPr>
        <w:t>Initial Comfort Letter</w:t>
      </w:r>
      <w:r>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200" w:after="200"/>
        <w:ind w:left="0" w:right="0" w:firstLine="720"/>
        <w:jc w:val="both"/>
        <w:rPr/>
      </w:pPr>
      <w:r>
        <w:rPr/>
        <w:t xml:space="preserve">(p) </w:t>
      </w:r>
      <w:r>
        <w:rPr>
          <w:u w:val="single"/>
        </w:rPr>
        <w:t>Market Activities</w:t>
      </w:r>
      <w:r>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Common Shares or (ii) sell, bid for, or purchase Common Shares in violation of Regulation M, or pay anyone any compensation for soliciting purchases of the Placement Shares other than the Sales Agents.</w:t>
      </w:r>
    </w:p>
    <w:p>
      <w:pPr>
        <w:pStyle w:val="TextBody"/>
        <w:bidi w:val="0"/>
        <w:spacing w:before="200" w:after="200"/>
        <w:ind w:left="0" w:right="0" w:firstLine="720"/>
        <w:jc w:val="both"/>
        <w:rPr/>
      </w:pPr>
      <w:r>
        <w:rPr/>
        <w:t xml:space="preserve">(q) </w:t>
      </w:r>
      <w:r>
        <w:rPr>
          <w:u w:val="single"/>
        </w:rPr>
        <w:t>Insurance</w:t>
      </w:r>
      <w:r>
        <w:rPr/>
        <w:t>. The Company and its subsidiaries shall maintain, or cause to be maintained, insurance in such amounts and covering such risks as is reasonable and customary for the business in which it is engaged.</w:t>
      </w:r>
    </w:p>
    <w:p>
      <w:pPr>
        <w:pStyle w:val="TextBody"/>
        <w:bidi w:val="0"/>
        <w:spacing w:before="200" w:after="200"/>
        <w:ind w:left="0" w:right="0" w:firstLine="720"/>
        <w:jc w:val="both"/>
        <w:rPr/>
      </w:pPr>
      <w:r>
        <w:rPr/>
        <w:t xml:space="preserve">(r) </w:t>
      </w:r>
      <w:r>
        <w:rPr>
          <w:u w:val="single"/>
        </w:rPr>
        <w:t>Investment Company Act</w:t>
      </w:r>
      <w:r>
        <w:rPr/>
        <w:t>. The Company will conduct its affairs in such a manner so as to reasonably ensure that neither it nor its subsidiaries or, after giving effect to the offering and sale of the Placement Shares and the application of proceeds therefrom as described in the Prospectus, will be, an "investment company" within the meaning of such term under the Investment Company Act.</w:t>
      </w:r>
    </w:p>
    <w:p>
      <w:pPr>
        <w:pStyle w:val="TextBody"/>
        <w:bidi w:val="0"/>
        <w:spacing w:before="200" w:after="200"/>
        <w:ind w:left="0" w:right="0" w:firstLine="720"/>
        <w:jc w:val="both"/>
        <w:rPr/>
      </w:pPr>
      <w:r>
        <w:rPr/>
        <w:t xml:space="preserve">(s) </w:t>
      </w:r>
      <w:r>
        <w:rPr>
          <w:u w:val="single"/>
        </w:rPr>
        <w:t>Securities Act and Exchange Act</w:t>
      </w:r>
      <w:r>
        <w:rPr/>
        <w:t>. The Company will use its commercially reasonable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6" w:name="page_211"/>
      <w:bookmarkEnd w:id="36"/>
      <w:r>
        <w:rPr/>
        <w:t xml:space="preserve">(t) </w:t>
      </w:r>
      <w:r>
        <w:rPr>
          <w:u w:val="single"/>
        </w:rPr>
        <w:t>No Offer to Sell</w:t>
      </w:r>
      <w:r>
        <w:rPr/>
        <w:t>. Other than the Prospectus and an Issuer Free Writing Prospectus approved in advance by the Company and the Sales Agents in their capacity as principal or agent hereunder, neither the Sales Agents nor the Company (including its agents and representatives, other than the Sales Agents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spacing w:before="200" w:after="200"/>
        <w:ind w:left="0" w:right="0" w:firstLine="720"/>
        <w:jc w:val="both"/>
        <w:rPr/>
      </w:pPr>
      <w:r>
        <w:rPr/>
        <w:t xml:space="preserve">(u) </w:t>
      </w:r>
      <w:r>
        <w:rPr>
          <w:u w:val="single"/>
        </w:rPr>
        <w:t>Sarbanes-Oxley Act</w:t>
      </w:r>
      <w:r>
        <w:rPr/>
        <w:t>. The Company and its subsidiaries will use their reasonable efforts to comply with all effective applicable provisions of the Sarbanes-Oxley Act.</w:t>
      </w:r>
    </w:p>
    <w:p>
      <w:pPr>
        <w:pStyle w:val="TextBody"/>
        <w:bidi w:val="0"/>
        <w:spacing w:before="200" w:after="200"/>
        <w:ind w:left="0" w:right="0" w:firstLine="720"/>
        <w:jc w:val="both"/>
        <w:rPr/>
      </w:pPr>
      <w:r>
        <w:rPr/>
        <w:t xml:space="preserve">(v) </w:t>
      </w:r>
      <w:r>
        <w:rPr>
          <w:u w:val="single"/>
        </w:rPr>
        <w:t>Transfer Agent</w:t>
      </w:r>
      <w:r>
        <w:rPr/>
        <w:t>. The Company shall maintain, at its sole expense, a registrar and transfer agent for the Common Shares.</w:t>
      </w:r>
    </w:p>
    <w:p>
      <w:pPr>
        <w:pStyle w:val="TextBody"/>
        <w:bidi w:val="0"/>
        <w:spacing w:before="200" w:after="200"/>
        <w:ind w:left="0" w:right="0" w:firstLine="720"/>
        <w:jc w:val="both"/>
        <w:rPr/>
      </w:pPr>
      <w:r>
        <w:rPr/>
        <w:t xml:space="preserve">8. </w:t>
      </w:r>
      <w:r>
        <w:rPr>
          <w:u w:val="single"/>
        </w:rPr>
        <w:t>Conditions to the Sales Agent' Obligations</w:t>
      </w:r>
      <w:r>
        <w:rPr/>
        <w:t>. The obligations of the Sales Agents hereunder with respect to a Placement will be subject to the continuing accuracy and completeness of the representations and warranties made by the Company herein, to the due performance by the Company of its obligations hereunder, to the completion by the Sales Agents of a due diligence review satisfactory to the Sales Agents in their reasonable judgment, and to the continuing satisfaction (or waiver by the Sales Agents in their sole discretion) of the following additional conditions:</w:t>
      </w:r>
    </w:p>
    <w:p>
      <w:pPr>
        <w:pStyle w:val="TextBody"/>
        <w:bidi w:val="0"/>
        <w:spacing w:before="200" w:after="200"/>
        <w:ind w:left="0" w:right="0" w:firstLine="720"/>
        <w:jc w:val="both"/>
        <w:rPr/>
      </w:pPr>
      <w:r>
        <w:rPr/>
        <w:t xml:space="preserve">(a) </w:t>
      </w:r>
      <w:r>
        <w:rPr>
          <w:u w:val="single"/>
        </w:rPr>
        <w:t>Registration Statement Effective</w:t>
      </w:r>
      <w:r>
        <w:rPr/>
        <w:t>. The Registration Statement shall be effective and shall be available for the sale of all Placement Shares contemplated to be issued by any Placement Notice which have not yet been issued and sold pursuant to such Registration Statement.</w:t>
      </w:r>
    </w:p>
    <w:p>
      <w:pPr>
        <w:pStyle w:val="TextBody"/>
        <w:bidi w:val="0"/>
        <w:spacing w:before="200" w:after="200"/>
        <w:ind w:left="0" w:right="0" w:firstLine="720"/>
        <w:jc w:val="both"/>
        <w:rPr/>
      </w:pPr>
      <w:r>
        <w:rPr/>
        <w:t xml:space="preserve">(b) </w:t>
      </w:r>
      <w:r>
        <w:rPr>
          <w:u w:val="single"/>
        </w:rPr>
        <w:t>Securities Act Filings Made</w:t>
      </w:r>
      <w:r>
        <w:rPr/>
        <w:t>. The Company shall have filed with the Commission the ATM Prospectus pursuant to Rule 424(b) under the Securities Act not later than the Commission's close of business on the second Business Day following the date of this Agreement. All other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pStyle w:val="TextBody"/>
        <w:bidi w:val="0"/>
        <w:spacing w:before="200" w:after="200"/>
        <w:ind w:left="0" w:right="0" w:firstLine="720"/>
        <w:jc w:val="both"/>
        <w:rPr/>
      </w:pPr>
      <w:r>
        <w:rPr/>
        <w:t xml:space="preserve">(c) </w:t>
      </w:r>
      <w:r>
        <w:rPr>
          <w:u w:val="single"/>
        </w:rPr>
        <w:t>No Material Notices</w:t>
      </w:r>
      <w:r>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200" w:after="200"/>
        <w:ind w:left="0" w:right="0" w:firstLine="720"/>
        <w:jc w:val="both"/>
        <w:rPr/>
      </w:pPr>
      <w:r>
        <w:rPr/>
        <w:t xml:space="preserve">(d) </w:t>
      </w:r>
      <w:r>
        <w:rPr>
          <w:u w:val="single"/>
        </w:rPr>
        <w:t>No Misstatement or Material Omission</w:t>
      </w:r>
      <w:r>
        <w:rPr/>
        <w:t>. The Sales Agents shall not have advised the Company that the Registration Statement or Prospectus, or any amendment or supplement thereto, contains an untrue statement of fact that in the Sales Agents' reasonable opinion is material, or omits to state a fact that in the Sales Agents' reasonable opinion is material and is required to be stated therein or is necessary to make the statements therein not misleading.</w:t>
      </w:r>
    </w:p>
    <w:p>
      <w:pPr>
        <w:pStyle w:val="TextBody"/>
        <w:bidi w:val="0"/>
        <w:spacing w:before="200" w:after="200"/>
        <w:ind w:left="0" w:right="0" w:firstLine="720"/>
        <w:jc w:val="both"/>
        <w:rPr/>
      </w:pPr>
      <w:r>
        <w:rPr/>
        <w:t xml:space="preserve">(e) </w:t>
      </w:r>
      <w:r>
        <w:rPr>
          <w:u w:val="single"/>
        </w:rPr>
        <w:t>Material Changes</w:t>
      </w:r>
      <w:r>
        <w:rPr/>
        <w:t>. Except as contemplated in the Prospectus, or disclosed in the Company's reports filed with the Commission, there shall not have been any material adverse change in the authorized capital stock of the Company or any Material Adverse Change or any development that could reasonably be expected to result in a Material Adverse Change, the effect of which, in the case of any such action by a rating organization described above, in the reasonable judgment of the Sales Agents (without relieving the Company of any obligation or liability it may otherwise have), is so material as to make it impracticable or inadvisable to proceed with the offering of the Placement Shares on the terms and in the manner contemplated by this Agreement and the Prospectus.</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7" w:name="page_22"/>
      <w:bookmarkEnd w:id="37"/>
      <w:r>
        <w:rPr/>
        <w:t xml:space="preserve">(f) </w:t>
      </w:r>
      <w:r>
        <w:rPr>
          <w:u w:val="single"/>
        </w:rPr>
        <w:t>Representation Certificate</w:t>
      </w:r>
      <w:r>
        <w:rPr/>
        <w:t xml:space="preserve">. The Sales Agents shall have received the certificate required to be delivered pursuant to </w:t>
      </w:r>
      <w:r>
        <w:rPr>
          <w:u w:val="single"/>
        </w:rPr>
        <w:t>Section 7(m)</w:t>
      </w:r>
      <w:r>
        <w:rPr/>
        <w:t xml:space="preserve"> on or before the date on which delivery of such certificate is required pursuant to </w:t>
      </w:r>
      <w:r>
        <w:rPr>
          <w:u w:val="single"/>
        </w:rPr>
        <w:t>Section 7(m)</w:t>
      </w:r>
      <w:r>
        <w:rPr/>
        <w:t>.</w:t>
      </w:r>
    </w:p>
    <w:p>
      <w:pPr>
        <w:pStyle w:val="TextBody"/>
        <w:bidi w:val="0"/>
        <w:spacing w:before="200" w:after="200"/>
        <w:ind w:left="0" w:right="0" w:firstLine="720"/>
        <w:jc w:val="both"/>
        <w:rPr/>
      </w:pPr>
      <w:r>
        <w:rPr/>
        <w:t xml:space="preserve">(g) </w:t>
      </w:r>
      <w:r>
        <w:rPr>
          <w:u w:val="single"/>
        </w:rPr>
        <w:t>Legal Opinions</w:t>
      </w:r>
      <w:r>
        <w:rPr/>
        <w:t xml:space="preserve">. The Sales Agents shall have received the opinion and negative assurance of U.S. Company Counsel and legal opinion of Canadian Company Counsel as required to be delivered pursuant to </w:t>
      </w:r>
      <w:r>
        <w:rPr>
          <w:u w:val="single"/>
        </w:rPr>
        <w:t>Section 7(n)</w:t>
      </w:r>
      <w:r>
        <w:rPr/>
        <w:t xml:space="preserve"> on or before the date on which such delivery of such opinions and negative assurance, as applicable, is required pursuant to </w:t>
      </w:r>
      <w:r>
        <w:rPr>
          <w:u w:val="single"/>
        </w:rPr>
        <w:t>Section 7(n)</w:t>
      </w:r>
      <w:r>
        <w:rPr/>
        <w:t>.</w:t>
      </w:r>
    </w:p>
    <w:p>
      <w:pPr>
        <w:pStyle w:val="TextBody"/>
        <w:bidi w:val="0"/>
        <w:spacing w:before="200" w:after="200"/>
        <w:ind w:left="0" w:right="0" w:firstLine="720"/>
        <w:jc w:val="both"/>
        <w:rPr/>
      </w:pPr>
      <w:r>
        <w:rPr/>
        <w:t xml:space="preserve">(h) </w:t>
      </w:r>
      <w:r>
        <w:rPr>
          <w:u w:val="single"/>
        </w:rPr>
        <w:t>Comfort Letter</w:t>
      </w:r>
      <w:r>
        <w:rPr/>
        <w:t xml:space="preserve">. The Sales Agents shall have received the Comfort Letter required to be delivered pursuant to </w:t>
      </w:r>
      <w:r>
        <w:rPr>
          <w:u w:val="single"/>
        </w:rPr>
        <w:t>Section 7(o)</w:t>
      </w:r>
      <w:r>
        <w:rPr/>
        <w:t xml:space="preserve"> on or before the date on which delivery of such Comfort Letter is required pursuant to </w:t>
      </w:r>
      <w:r>
        <w:rPr>
          <w:u w:val="single"/>
        </w:rPr>
        <w:t>Section 7(o)</w:t>
      </w:r>
      <w:r>
        <w:rPr/>
        <w:t>.</w:t>
      </w:r>
    </w:p>
    <w:p>
      <w:pPr>
        <w:pStyle w:val="TextBody"/>
        <w:bidi w:val="0"/>
        <w:spacing w:before="200" w:after="200"/>
        <w:ind w:left="0" w:right="0" w:firstLine="720"/>
        <w:jc w:val="both"/>
        <w:rPr/>
      </w:pPr>
      <w:r>
        <w:rPr/>
        <w:t xml:space="preserve">(i) </w:t>
      </w:r>
      <w:r>
        <w:rPr>
          <w:u w:val="single"/>
        </w:rPr>
        <w:t>Officer's Certificate</w:t>
      </w:r>
      <w:r>
        <w:rPr/>
        <w:t>. On or prior to the date the first Placement Notice is given hereunder, the Sales Agents shall have received a certificate, signed on behalf of the Company by its President and Chief Executive Officer, certifying as to (i) the articles of incorporation of the Company (as the same may be amended or restated from time to time), (ii) the bylaws of the Company (as the same may be amended or restated from time to time), (iii) the resolutions of the Board of Directors of the Company (or a committee thereof) authorizing the execution, delivery and performance of this Agreement and the issuance of the Placement Shares and (iv) the incumbency of the officers duly authorized to execute this Agreement and the other documents contemplated by this Agreement.</w:t>
      </w:r>
    </w:p>
    <w:p>
      <w:pPr>
        <w:pStyle w:val="TextBody"/>
        <w:bidi w:val="0"/>
        <w:spacing w:before="200" w:after="200"/>
        <w:ind w:left="0" w:right="0" w:firstLine="720"/>
        <w:jc w:val="both"/>
        <w:rPr/>
      </w:pPr>
      <w:r>
        <w:rPr/>
        <w:t xml:space="preserve">(j) </w:t>
      </w:r>
      <w:r>
        <w:rPr>
          <w:u w:val="single"/>
        </w:rPr>
        <w:t>No Suspension</w:t>
      </w:r>
      <w:r>
        <w:rPr/>
        <w:t>. Trading in the Common Shares shall not have been suspended on the Exchange and the Common Shares shall not have been delisted from the Exchange.</w:t>
      </w:r>
    </w:p>
    <w:p>
      <w:pPr>
        <w:pStyle w:val="TextBody"/>
        <w:bidi w:val="0"/>
        <w:spacing w:before="200" w:after="200"/>
        <w:ind w:left="0" w:right="0" w:firstLine="720"/>
        <w:jc w:val="both"/>
        <w:rPr/>
      </w:pPr>
      <w:r>
        <w:rPr/>
        <w:t xml:space="preserve">(k) </w:t>
      </w:r>
      <w:r>
        <w:rPr>
          <w:u w:val="single"/>
        </w:rPr>
        <w:t>Other Materials</w:t>
      </w:r>
      <w:r>
        <w:rPr/>
        <w:t xml:space="preserve">. On each date on which the Company is required to deliver a certificate pursuant to </w:t>
      </w:r>
      <w:r>
        <w:rPr>
          <w:u w:val="single"/>
        </w:rPr>
        <w:t>Section 7(m)</w:t>
      </w:r>
      <w:r>
        <w:rPr/>
        <w:t>, the Company shall have furnished to the Sales Agents such appropriate further opinions, certificates, letters and documents as the Sales Agents may have reasonably requested. All such opinions, certificates, letters and other documents shall have been in compliance with the provisions hereof. The Company will furnish the Sales Agents with such conformed copies of such opinions, certificates, letters and other documents as the Sales Agents shall have reasonably requested.</w:t>
      </w:r>
    </w:p>
    <w:p>
      <w:pPr>
        <w:pStyle w:val="TextBody"/>
        <w:bidi w:val="0"/>
        <w:spacing w:before="200" w:after="200"/>
        <w:ind w:left="0" w:right="0" w:firstLine="720"/>
        <w:jc w:val="both"/>
        <w:rPr/>
      </w:pPr>
      <w:r>
        <w:rPr/>
        <w:t xml:space="preserve">(l) </w:t>
      </w:r>
      <w:r>
        <w:rPr>
          <w:u w:val="single"/>
        </w:rPr>
        <w:t>Approval for Listing</w:t>
      </w:r>
      <w:r>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w:t>
      </w:r>
    </w:p>
    <w:p>
      <w:pPr>
        <w:pStyle w:val="TextBody"/>
        <w:bidi w:val="0"/>
        <w:spacing w:before="200" w:after="200"/>
        <w:ind w:left="0" w:right="0" w:firstLine="720"/>
        <w:jc w:val="both"/>
        <w:rPr/>
      </w:pPr>
      <w:r>
        <w:rPr/>
        <w:t xml:space="preserve">(m) </w:t>
      </w:r>
      <w:r>
        <w:rPr>
          <w:u w:val="single"/>
        </w:rPr>
        <w:t>No Termination Event</w:t>
      </w:r>
      <w:r>
        <w:rPr/>
        <w:t xml:space="preserve">. There shall not have occurred any event that would permit the Sales Agents to terminate this Agreement pursuant to </w:t>
      </w:r>
      <w:r>
        <w:rPr>
          <w:u w:val="single"/>
        </w:rPr>
        <w:t>Section 11(a)</w:t>
      </w:r>
      <w:r>
        <w:rPr/>
        <w:t>.</w:t>
      </w:r>
    </w:p>
    <w:p>
      <w:pPr>
        <w:pStyle w:val="TextBody"/>
        <w:bidi w:val="0"/>
        <w:spacing w:before="200" w:after="200"/>
        <w:ind w:left="0" w:right="0" w:firstLine="720"/>
        <w:jc w:val="both"/>
        <w:rPr/>
      </w:pPr>
      <w:r>
        <w:rPr/>
        <w:t xml:space="preserve">9. </w:t>
      </w:r>
      <w:r>
        <w:rPr>
          <w:u w:val="single"/>
        </w:rPr>
        <w:t>Indemnification and Contribution.</w:t>
      </w:r>
    </w:p>
    <w:p>
      <w:pPr>
        <w:pStyle w:val="TextBody"/>
        <w:bidi w:val="0"/>
        <w:spacing w:before="200" w:after="200"/>
        <w:ind w:left="0" w:right="0" w:firstLine="720"/>
        <w:jc w:val="both"/>
        <w:rPr/>
      </w:pPr>
      <w:r>
        <w:rPr/>
        <w:t xml:space="preserve">(a) </w:t>
      </w:r>
      <w:r>
        <w:rPr>
          <w:u w:val="single"/>
        </w:rPr>
        <w:t>Company Indemnification</w:t>
      </w:r>
      <w:r>
        <w:rPr/>
        <w:t xml:space="preserve">. The Company agrees to indemnify and hold harmless the Sales Agents, the directors, officers, members, partners, employees and agents of the Sales Agent, each broker dealer affiliate of the Sales Agents, and each Designated Sales Agent Affiliate, if any, from and against any and all losses, claims, liabilities, expenses and damages (including, but not limited to, any and all reasonable investigative, legal and other expenses incurred in connection with, and any and all amounts paid in settlement (in accordance with </w:t>
      </w:r>
      <w:r>
        <w:rPr>
          <w:u w:val="single"/>
        </w:rPr>
        <w:t>Section 9(c)</w:t>
      </w:r>
      <w:r>
        <w:rPr/>
        <w:t xml:space="preserve">) of, any action, suit or proceeding between any of the indemnified parties and any indemnifying parties or between any indemnified party and any third party, or otherwise, or any claim asserted), as and when incurred, to which the Sales Agents,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thereto or in any Issuer Free Writing Prospectus or in any application or other document executed by or on behalf of the Company or based on written information furnished by or on behalf of the Company filed in any jurisdiction in order to qualify the Common Shares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i/>
        </w:rPr>
        <w:t>provided, however</w:t>
      </w:r>
      <w:r>
        <w:rPr/>
        <w:t xml:space="preserve">, that this indemnity agreement shall not apply to the extent that such loss, claim, liability, expense or damage arises from the sale of the Placement Shares pursuant to this Agreement and is caused directly by an untrue statement or omission made in reliance upon and in strict conformity with written information relating to the Sales Agents and furnished to the Company by the Sales Agents expressly for inclusion in any document as described in clause (x) of this </w:t>
      </w:r>
      <w:r>
        <w:rPr>
          <w:u w:val="single"/>
        </w:rPr>
        <w:t>Section 9(a)</w:t>
      </w:r>
      <w:r>
        <w:rPr/>
        <w:t>. This indemnity agreement will be in addition to any liability that the Company might otherwise have.</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8" w:name="page_23"/>
      <w:bookmarkEnd w:id="38"/>
      <w:r>
        <w:rPr/>
        <w:t xml:space="preserve">(b) </w:t>
      </w:r>
      <w:r>
        <w:rPr>
          <w:u w:val="single"/>
        </w:rPr>
        <w:t>The Sales Agents Indemnification</w:t>
      </w:r>
      <w:r>
        <w:rPr/>
        <w:t>. The Sales Agents agree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(each, a "</w:t>
      </w:r>
      <w:r>
        <w:rPr>
          <w:b/>
          <w:u w:val="single"/>
        </w:rPr>
        <w:t>Company Affiliate</w:t>
      </w:r>
      <w:r>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w:t>
      </w:r>
      <w:r>
        <w:rPr>
          <w:u w:val="single"/>
        </w:rPr>
        <w:t>Section 9(c)</w:t>
      </w:r>
      <w:r>
        <w:rPr/>
        <w:t xml:space="preserve">) of, any action, suit or proceeding between any of the indemnified parties and any indemnifying parties or between any indemnified party and any third party, or otherwise, or any claim asserted), as and when incurred, to which any such Company Affiliate,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thereto, or (y) the omission or alleged omission to state in any such document a material fact required to be stated in it or necessary to make the statements in it not misleading; </w:t>
      </w:r>
      <w:r>
        <w:rPr>
          <w:i/>
        </w:rPr>
        <w:t>provided</w:t>
      </w:r>
      <w:r>
        <w:rPr/>
        <w:t xml:space="preserve">, </w:t>
      </w:r>
      <w:r>
        <w:rPr>
          <w:i/>
        </w:rPr>
        <w:t>however</w:t>
      </w:r>
      <w:r>
        <w:rPr/>
        <w:t xml:space="preserve">, that this indemnity agreement shall apply only to the extent that such loss, claim, liability, expense or damage is caused directly by an untrue statement or omission made in reliance upon and in strict conformity with written information relating to the Sales Agents and furnished to the Company by the Sales Agents expressly for inclusion in any document as described in clause (x) of this </w:t>
      </w:r>
      <w:r>
        <w:rPr>
          <w:u w:val="single"/>
        </w:rPr>
        <w:t>Section 9(b)</w:t>
      </w:r>
      <w:r>
        <w:rPr/>
        <w:t>.</w:t>
      </w:r>
    </w:p>
    <w:p>
      <w:pPr>
        <w:pStyle w:val="TextBody"/>
        <w:bidi w:val="0"/>
        <w:spacing w:before="200" w:after="200"/>
        <w:ind w:left="0" w:right="0" w:firstLine="720"/>
        <w:jc w:val="both"/>
        <w:rPr/>
      </w:pPr>
      <w:r>
        <w:rPr/>
        <w:t xml:space="preserve">(c) </w:t>
      </w:r>
      <w:r>
        <w:rPr>
          <w:u w:val="single"/>
        </w:rPr>
        <w:t>Procedure</w:t>
      </w:r>
      <w:r>
        <w:rPr/>
        <w:t xml:space="preserve">. Any party that proposes to assert the right to be indemnified under this </w:t>
      </w:r>
      <w:r>
        <w:rPr>
          <w:u w:val="single"/>
        </w:rPr>
        <w:t>Section 9</w:t>
      </w:r>
      <w:r>
        <w:rPr/>
        <w:t xml:space="preserve"> will, promptly after receipt of notice of commencement of any action against such party in respect of which a claim is to be made against an indemnifying party or parties under this </w:t>
      </w:r>
      <w:r>
        <w:rPr>
          <w:u w:val="single"/>
        </w:rPr>
        <w:t>Section 9</w:t>
      </w:r>
      <w:r>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u w:val="single"/>
        </w:rPr>
        <w:t>Section 9</w:t>
      </w:r>
      <w:r>
        <w:rPr/>
        <w:t xml:space="preserve"> and (ii) any liability that it may have to any indemnified party under the foregoing provision of this </w:t>
      </w:r>
      <w:r>
        <w:rPr>
          <w:u w:val="single"/>
        </w:rPr>
        <w:t>Section 9</w:t>
      </w:r>
      <w:r>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u w:val="single"/>
        </w:rPr>
        <w:t>Section 9</w:t>
      </w:r>
      <w:r>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39" w:name="page_24"/>
      <w:bookmarkEnd w:id="39"/>
      <w:r>
        <w:rPr/>
        <w:t xml:space="preserve">(d) </w:t>
      </w:r>
      <w:r>
        <w:rPr>
          <w:u w:val="single"/>
        </w:rPr>
        <w:t>Contribution</w:t>
      </w:r>
      <w:r>
        <w:rPr/>
        <w:t xml:space="preserve">. In order to provide for just and equitable contribution in circumstances in which the indemnification provided for in the foregoing paragraphs of this </w:t>
      </w:r>
      <w:r>
        <w:rPr>
          <w:u w:val="single"/>
        </w:rPr>
        <w:t>Section 9</w:t>
      </w:r>
      <w:r>
        <w:rPr/>
        <w:t xml:space="preserve"> is applicable in accordance with its terms but for any reason is held to be unavailable from the Company or the Sales Agents, the Company and the Sales Agents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Sales Agents, such as persons who control the Company within the meaning of the Securities Act, officers of the Company who signed the Registration Statement and directors of the Company, who also may be liable for contribution) to which the Company and the Sales Agents may be subject in such proportion as shall be appropriate to reflect the relative benefits received by the Company on the one hand and the Sales Agents on the other. The relative benefits received by the Company on the one hand and the Sales Agents on the other hand shall be deemed to be in the same proportion as the total Net Proceeds from the sale of the Placement Shares (before deducting expenses) received by the Company bear to the total compensation received by the Sales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Sales Agents,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Sales Agents, the intent of the parties and their relative knowledge, access to information and opportunity to correct or prevent such statement or omission. The Company and the Sales Agents agree that it would not be just and equitable if contributions pursuant to this </w:t>
      </w:r>
      <w:r>
        <w:rPr>
          <w:u w:val="single"/>
        </w:rPr>
        <w:t>Section 9(d)</w:t>
      </w:r>
      <w:r>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u w:val="single"/>
        </w:rPr>
        <w:t>Section 9(d)</w:t>
      </w:r>
      <w:r>
        <w:rPr/>
        <w:t xml:space="preserve"> shall be deemed to include, for the purpose of this </w:t>
      </w:r>
      <w:r>
        <w:rPr>
          <w:u w:val="single"/>
        </w:rPr>
        <w:t>Section 9(d)</w:t>
      </w:r>
      <w:r>
        <w:rPr/>
        <w:t xml:space="preserve">, any legal or other expenses reasonably incurred by such indemnified party in connection with investigating or defending any such action or claim to the extent consistent with </w:t>
      </w:r>
      <w:r>
        <w:rPr>
          <w:u w:val="single"/>
        </w:rPr>
        <w:t>Section 9(c)</w:t>
      </w:r>
      <w:r>
        <w:rPr/>
        <w:t xml:space="preserve"> hereof. Notwithstanding the foregoing provisions of this </w:t>
      </w:r>
      <w:r>
        <w:rPr>
          <w:u w:val="single"/>
        </w:rPr>
        <w:t>Section 9(d)</w:t>
      </w:r>
      <w:r>
        <w:rPr/>
        <w:t xml:space="preserve">, the Sales Agents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u w:val="single"/>
        </w:rPr>
        <w:t>Section 9(d)</w:t>
      </w:r>
      <w:r>
        <w:rPr/>
        <w:t xml:space="preserve">, any person who controls a party to this Agreement within the meaning of the Securities Act will have the same rights to contribution as that party (and any officers, directors, members, partners, employees or agents of the Sales Agents and each broker dealer affiliate of the Sales Agents will have the same rights to contribution as the Sales Agents),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u w:val="single"/>
        </w:rPr>
        <w:t>Section 9(d)</w:t>
      </w:r>
      <w:r>
        <w:rPr/>
        <w:t xml:space="preserve">, will notify any such party or parties from whom contribution may be sought, but the omission to so notify will not relieve that party or parties from whom contribution may be sought from any other obligation it or they may have under this </w:t>
      </w:r>
      <w:r>
        <w:rPr>
          <w:u w:val="single"/>
        </w:rPr>
        <w:t>Section 9(d)</w:t>
      </w:r>
      <w:r>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u w:val="single"/>
        </w:rPr>
        <w:t>Section 9(c)</w:t>
      </w:r>
      <w:r>
        <w:rPr/>
        <w:t xml:space="preserve"> hereof, no party will be liable for contribution with respect to any action or claim settled without its written consent if such consent is required pursuant to </w:t>
      </w:r>
      <w:r>
        <w:rPr>
          <w:u w:val="single"/>
        </w:rPr>
        <w:t>Section 9(c)</w:t>
      </w:r>
      <w:r>
        <w:rPr/>
        <w:t xml:space="preserve"> hereof.</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40" w:name="page_25"/>
      <w:bookmarkEnd w:id="40"/>
      <w:r>
        <w:rPr/>
        <w:t xml:space="preserve">10. </w:t>
      </w:r>
      <w:r>
        <w:rPr>
          <w:u w:val="single"/>
        </w:rPr>
        <w:t>Representations and Agreements to Survive Delivery</w:t>
      </w:r>
      <w:r>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Sales Agents, any controlling person of the Sales Agents, or the Company (or any of their respective officers, directors, members or controlling persons), (ii) delivery and acceptance of the Placement Shares and payment therefor or (iii) any termination of this Agreement.</w:t>
      </w:r>
    </w:p>
    <w:p>
      <w:pPr>
        <w:pStyle w:val="TextBody"/>
        <w:bidi w:val="0"/>
        <w:spacing w:before="200" w:after="200"/>
        <w:ind w:left="0" w:right="0" w:firstLine="720"/>
        <w:jc w:val="both"/>
        <w:rPr/>
      </w:pPr>
      <w:r>
        <w:rPr/>
        <w:t xml:space="preserve">11. </w:t>
      </w:r>
      <w:r>
        <w:rPr>
          <w:u w:val="single"/>
        </w:rPr>
        <w:t>Termination.</w:t>
      </w:r>
    </w:p>
    <w:p>
      <w:pPr>
        <w:pStyle w:val="TextBody"/>
        <w:bidi w:val="0"/>
        <w:spacing w:before="200" w:after="200"/>
        <w:ind w:left="0" w:right="0" w:firstLine="720"/>
        <w:jc w:val="both"/>
        <w:rPr/>
      </w:pPr>
      <w:r>
        <w:rPr/>
        <w:t xml:space="preserve">(a) The Sales Agents shall have the right by giving notice as hereinafter specified at any time to terminate this Agreement if (i) any Material Adverse Change, or any development that could reasonably be expected to result in a Material Adverse Change has occurred that, in the reasonable judgment of the Sales Agents, may materially impair the ability of the Sales Agents to sell the Placement Shares hereunder, (ii) the Company shall have failed, refused or been unable to perform any agreement on its part to be performed hereunder; </w:t>
      </w:r>
      <w:r>
        <w:rPr>
          <w:i/>
        </w:rPr>
        <w:t>provided</w:t>
      </w:r>
      <w:r>
        <w:rPr/>
        <w:t xml:space="preserve">, </w:t>
      </w:r>
      <w:r>
        <w:rPr>
          <w:i/>
        </w:rPr>
        <w:t>however</w:t>
      </w:r>
      <w:r>
        <w:rPr/>
        <w:t xml:space="preserve">, in the case of any failure of the Company to deliver (or cause another person to deliver) any certification, opinion, or letter required under </w:t>
      </w:r>
      <w:r>
        <w:rPr>
          <w:u w:val="single"/>
        </w:rPr>
        <w:t>Sections 7(m)</w:t>
      </w:r>
      <w:r>
        <w:rPr/>
        <w:t xml:space="preserve">, </w:t>
      </w:r>
      <w:r>
        <w:rPr>
          <w:u w:val="single"/>
        </w:rPr>
        <w:t>7(n)</w:t>
      </w:r>
      <w:r>
        <w:rPr/>
        <w:t xml:space="preserve"> or </w:t>
      </w:r>
      <w:r>
        <w:rPr>
          <w:u w:val="single"/>
        </w:rPr>
        <w:t>7(o)</w:t>
      </w:r>
      <w:r>
        <w:rPr/>
        <w:t xml:space="preserve">, the Sales Agents' right to terminate shall not arise unless such failure to deliver (or cause to be delivered) continues for more than thirty (30) days from the date such delivery was required, (iii) any other condition of the Sales Agents' obligations hereunder is not fulfilled, or (iv) any suspension or limitation of trading in the Placement Shares or in securities generally on the Exchange shall have occurred (including automatic halt in trading pursuant to market-decline triggers, other than those in which solely program trading is temporarily halted), or a major disruption of securities settlements or clearing services in the United States shall have occurred, or minimum prices for trading have been fixed on the Exchange. Any such termination shall be without liability of any party to any other party except that the provisions of </w:t>
      </w:r>
      <w:r>
        <w:rPr>
          <w:u w:val="single"/>
        </w:rPr>
        <w:t>Section 7(g)</w:t>
      </w:r>
      <w:r>
        <w:rPr/>
        <w:t xml:space="preserve"> (Expenses), </w:t>
      </w:r>
      <w:r>
        <w:rPr>
          <w:u w:val="single"/>
        </w:rPr>
        <w:t>Section 9</w:t>
      </w:r>
      <w:r>
        <w:rPr/>
        <w:t xml:space="preserve"> (Indemnification and Contribution), </w:t>
      </w:r>
      <w:r>
        <w:rPr>
          <w:u w:val="single"/>
        </w:rPr>
        <w:t>Section 10</w:t>
      </w:r>
      <w:r>
        <w:rPr/>
        <w:t xml:space="preserve"> (Representations and Agreements to Survive Delivery), </w:t>
      </w:r>
      <w:r>
        <w:rPr>
          <w:u w:val="single"/>
        </w:rPr>
        <w:t>Section 11(f)</w:t>
      </w:r>
      <w:r>
        <w:rPr/>
        <w:t xml:space="preserve">, </w:t>
      </w:r>
      <w:r>
        <w:rPr>
          <w:u w:val="single"/>
        </w:rPr>
        <w:t>Section 16</w:t>
      </w:r>
      <w:r>
        <w:rPr/>
        <w:t xml:space="preserve"> (Applicable Law; Consent to Jurisdiction) and </w:t>
      </w:r>
      <w:r>
        <w:rPr>
          <w:u w:val="single"/>
        </w:rPr>
        <w:t>Section 17</w:t>
      </w:r>
      <w:r>
        <w:rPr/>
        <w:t xml:space="preserve"> (Waiver of Jury Trial) hereof shall remain in full force and effect notwithstanding such termination. If the Sales Agents elect to terminate this Agreement as provided in this </w:t>
      </w:r>
      <w:r>
        <w:rPr>
          <w:u w:val="single"/>
        </w:rPr>
        <w:t>Section 11(a)</w:t>
      </w:r>
      <w:r>
        <w:rPr/>
        <w:t xml:space="preserve">, the Sales Agents shall provide the required notice as specified in </w:t>
      </w:r>
      <w:r>
        <w:rPr>
          <w:u w:val="single"/>
        </w:rPr>
        <w:t>Section 12</w:t>
      </w:r>
      <w:r>
        <w:rPr/>
        <w:t xml:space="preserve"> (Notices).</w:t>
      </w:r>
    </w:p>
    <w:p>
      <w:pPr>
        <w:pStyle w:val="TextBody"/>
        <w:bidi w:val="0"/>
        <w:spacing w:before="200" w:after="200"/>
        <w:ind w:left="0" w:right="0" w:firstLine="720"/>
        <w:jc w:val="both"/>
        <w:rPr/>
      </w:pPr>
      <w:r>
        <w:rPr/>
        <w:t xml:space="preserve">(b) The Company shall have the right, by giving two (2) days' notice as hereinafter specified in </w:t>
      </w:r>
      <w:r>
        <w:rPr>
          <w:u w:val="single"/>
        </w:rPr>
        <w:t>Section 12</w:t>
      </w:r>
      <w:r>
        <w:rPr/>
        <w:t xml:space="preserve">, to terminate this Agreement in its sole discretion at any time after the date of this Agreement. Any such termination shall be without liability of any party to any other party except that the provisions of </w:t>
      </w:r>
      <w:r>
        <w:rPr>
          <w:u w:val="single"/>
        </w:rPr>
        <w:t>Section 7(g)</w:t>
      </w:r>
      <w:r>
        <w:rPr/>
        <w:t xml:space="preserve">, </w:t>
      </w:r>
      <w:r>
        <w:rPr>
          <w:u w:val="single"/>
        </w:rPr>
        <w:t>Section 9</w:t>
      </w:r>
      <w:r>
        <w:rPr/>
        <w:t xml:space="preserve">, </w:t>
      </w:r>
      <w:r>
        <w:rPr>
          <w:u w:val="single"/>
        </w:rPr>
        <w:t>Section 10</w:t>
      </w:r>
      <w:r>
        <w:rPr/>
        <w:t xml:space="preserve">, </w:t>
      </w:r>
      <w:r>
        <w:rPr>
          <w:u w:val="single"/>
        </w:rPr>
        <w:t>Section 11(f)</w:t>
      </w:r>
      <w:r>
        <w:rPr/>
        <w:t xml:space="preserve">, </w:t>
      </w:r>
      <w:r>
        <w:rPr>
          <w:u w:val="single"/>
        </w:rPr>
        <w:t>Section 16</w:t>
      </w:r>
      <w:r>
        <w:rPr/>
        <w:t xml:space="preserve"> and </w:t>
      </w:r>
      <w:r>
        <w:rPr>
          <w:u w:val="single"/>
        </w:rPr>
        <w:t>Section 17</w:t>
      </w:r>
      <w:r>
        <w:rPr/>
        <w:t xml:space="preserve"> hereof shall remain in full force and effect notwithstanding such termination.</w:t>
      </w:r>
    </w:p>
    <w:p>
      <w:pPr>
        <w:pStyle w:val="TextBody"/>
        <w:bidi w:val="0"/>
        <w:spacing w:before="200" w:after="200"/>
        <w:ind w:left="0" w:right="0" w:firstLine="720"/>
        <w:jc w:val="both"/>
        <w:rPr/>
      </w:pPr>
      <w:r>
        <w:rPr/>
        <w:t xml:space="preserve">(c) The Sales Agents shall have the right, by giving two (2) days' notice as hereinafter specified in </w:t>
      </w:r>
      <w:r>
        <w:rPr>
          <w:u w:val="single"/>
        </w:rPr>
        <w:t>Section 12</w:t>
      </w:r>
      <w:r>
        <w:rPr/>
        <w:t xml:space="preserve">, to terminate this Agreement in its sole discretion at any time after the date of this Agreement. Any such termination shall be without liability of any party to any other party except that the provisions of </w:t>
      </w:r>
      <w:r>
        <w:rPr>
          <w:u w:val="single"/>
        </w:rPr>
        <w:t>Section 7(g)</w:t>
      </w:r>
      <w:r>
        <w:rPr/>
        <w:t xml:space="preserve">, </w:t>
      </w:r>
      <w:r>
        <w:rPr>
          <w:u w:val="single"/>
        </w:rPr>
        <w:t>Section 9</w:t>
      </w:r>
      <w:r>
        <w:rPr/>
        <w:t xml:space="preserve">, </w:t>
      </w:r>
      <w:r>
        <w:rPr>
          <w:u w:val="single"/>
        </w:rPr>
        <w:t>Section 10</w:t>
      </w:r>
      <w:r>
        <w:rPr/>
        <w:t xml:space="preserve">, </w:t>
      </w:r>
      <w:r>
        <w:rPr>
          <w:u w:val="single"/>
        </w:rPr>
        <w:t>Section 11(f)</w:t>
      </w:r>
      <w:r>
        <w:rPr/>
        <w:t xml:space="preserve">, </w:t>
      </w:r>
      <w:r>
        <w:rPr>
          <w:u w:val="single"/>
        </w:rPr>
        <w:t>Section 16</w:t>
      </w:r>
      <w:r>
        <w:rPr/>
        <w:t xml:space="preserve"> and </w:t>
      </w:r>
      <w:r>
        <w:rPr>
          <w:u w:val="single"/>
        </w:rPr>
        <w:t>Section 17</w:t>
      </w:r>
      <w:r>
        <w:rPr/>
        <w:t xml:space="preserve"> hereof shall remain in full force and effect notwithstanding such termination.</w:t>
      </w:r>
    </w:p>
    <w:p>
      <w:pPr>
        <w:pStyle w:val="TextBody"/>
        <w:bidi w:val="0"/>
        <w:spacing w:before="200" w:after="200"/>
        <w:ind w:left="0" w:right="0" w:firstLine="720"/>
        <w:jc w:val="both"/>
        <w:rPr/>
      </w:pPr>
      <w:r>
        <w:rPr/>
        <w:t xml:space="preserve">(d) Unless earlier terminated pursuant to this </w:t>
      </w:r>
      <w:r>
        <w:rPr>
          <w:u w:val="single"/>
        </w:rPr>
        <w:t>Section 11</w:t>
      </w:r>
      <w:r>
        <w:rPr/>
        <w:t>, this Agreement shall automatically terminate upon the earlier to occur of (i) issuance and sale of all of the Placement Shares to or through the Sales Agents on the terms and subject to the conditions set forth herein and (ii) the expiration of the Registration Statement on the third (3</w:t>
      </w:r>
      <w:r>
        <w:rPr>
          <w:position w:val="8"/>
          <w:sz w:val="19"/>
        </w:rPr>
        <w:t>rd</w:t>
      </w:r>
      <w:r>
        <w:rPr/>
        <w:t xml:space="preserve">) anniversary of the initial effective date of the Registration Statement pursuant to Rule 415(a)(5) under the Securities Act; </w:t>
      </w:r>
      <w:r>
        <w:rPr>
          <w:i/>
        </w:rPr>
        <w:t>provided</w:t>
      </w:r>
      <w:r>
        <w:rPr/>
        <w:t xml:space="preserve"> that the provisions of </w:t>
      </w:r>
      <w:r>
        <w:rPr>
          <w:u w:val="single"/>
        </w:rPr>
        <w:t>Section 7(g)</w:t>
      </w:r>
      <w:r>
        <w:rPr/>
        <w:t xml:space="preserve">, </w:t>
      </w:r>
      <w:r>
        <w:rPr>
          <w:u w:val="single"/>
        </w:rPr>
        <w:t>Section 9</w:t>
      </w:r>
      <w:r>
        <w:rPr/>
        <w:t xml:space="preserve">, </w:t>
      </w:r>
      <w:r>
        <w:rPr>
          <w:u w:val="single"/>
        </w:rPr>
        <w:t>Section 10</w:t>
      </w:r>
      <w:r>
        <w:rPr/>
        <w:t xml:space="preserve">, </w:t>
      </w:r>
      <w:r>
        <w:rPr>
          <w:u w:val="single"/>
        </w:rPr>
        <w:t>Section 11(f)</w:t>
      </w:r>
      <w:r>
        <w:rPr/>
        <w:t xml:space="preserve">, </w:t>
      </w:r>
      <w:r>
        <w:rPr>
          <w:u w:val="single"/>
        </w:rPr>
        <w:t>Section 16</w:t>
      </w:r>
      <w:r>
        <w:rPr/>
        <w:t xml:space="preserve"> and </w:t>
      </w:r>
      <w:r>
        <w:rPr>
          <w:u w:val="single"/>
        </w:rPr>
        <w:t>Section 17</w:t>
      </w:r>
      <w:r>
        <w:rPr/>
        <w:t xml:space="preserve"> hereof shall remain in full force and effect notwithstanding such termination.</w:t>
      </w:r>
    </w:p>
    <w:p>
      <w:pPr>
        <w:pStyle w:val="TextBody"/>
        <w:bidi w:val="0"/>
        <w:spacing w:before="200" w:after="200"/>
        <w:ind w:left="0" w:right="0" w:firstLine="720"/>
        <w:jc w:val="both"/>
        <w:rPr/>
      </w:pPr>
      <w:r>
        <w:rPr/>
        <w:t xml:space="preserve">(e) This Agreement shall remain in full force and effect unless terminated pursuant to </w:t>
      </w:r>
      <w:r>
        <w:rPr>
          <w:u w:val="single"/>
        </w:rPr>
        <w:t>Sections 11(a)</w:t>
      </w:r>
      <w:r>
        <w:rPr/>
        <w:t xml:space="preserve">, </w:t>
      </w:r>
      <w:r>
        <w:rPr>
          <w:u w:val="single"/>
        </w:rPr>
        <w:t>(b)</w:t>
      </w:r>
      <w:r>
        <w:rPr/>
        <w:t xml:space="preserve">, </w:t>
      </w:r>
      <w:r>
        <w:rPr>
          <w:u w:val="single"/>
        </w:rPr>
        <w:t>(c)</w:t>
      </w:r>
      <w:r>
        <w:rPr/>
        <w:t xml:space="preserve"> or </w:t>
      </w:r>
      <w:r>
        <w:rPr>
          <w:u w:val="single"/>
        </w:rPr>
        <w:t>(d)</w:t>
      </w:r>
      <w:r>
        <w:rPr/>
        <w:t xml:space="preserve"> above or otherwise by mutual agreement of the parties; </w:t>
      </w:r>
      <w:r>
        <w:rPr>
          <w:i/>
        </w:rPr>
        <w:t>provided</w:t>
      </w:r>
      <w:r>
        <w:rPr/>
        <w:t xml:space="preserve">, </w:t>
      </w:r>
      <w:r>
        <w:rPr>
          <w:i/>
        </w:rPr>
        <w:t>however</w:t>
      </w:r>
      <w:r>
        <w:rPr/>
        <w:t xml:space="preserve">, that any such termination by mutual agreement shall in all cases be deemed to provide that </w:t>
      </w:r>
      <w:r>
        <w:rPr>
          <w:u w:val="single"/>
        </w:rPr>
        <w:t>Section 7(g)</w:t>
      </w:r>
      <w:r>
        <w:rPr/>
        <w:t xml:space="preserve">, </w:t>
      </w:r>
      <w:r>
        <w:rPr>
          <w:u w:val="single"/>
        </w:rPr>
        <w:t>Section 9</w:t>
      </w:r>
      <w:r>
        <w:rPr/>
        <w:t xml:space="preserve">, </w:t>
      </w:r>
      <w:r>
        <w:rPr>
          <w:u w:val="single"/>
        </w:rPr>
        <w:t>Section 10</w:t>
      </w:r>
      <w:r>
        <w:rPr/>
        <w:t xml:space="preserve">, </w:t>
      </w:r>
      <w:r>
        <w:rPr>
          <w:u w:val="single"/>
        </w:rPr>
        <w:t>Section 11(f)</w:t>
      </w:r>
      <w:r>
        <w:rPr/>
        <w:t xml:space="preserve">, </w:t>
      </w:r>
      <w:r>
        <w:rPr>
          <w:u w:val="single"/>
        </w:rPr>
        <w:t>Section 16</w:t>
      </w:r>
      <w:r>
        <w:rPr/>
        <w:t xml:space="preserve"> and </w:t>
      </w:r>
      <w:r>
        <w:rPr>
          <w:u w:val="single"/>
        </w:rPr>
        <w:t>Section 17</w:t>
      </w:r>
      <w:r>
        <w:rPr/>
        <w:t xml:space="preserve"> shall remain in full force and effect.</w:t>
      </w:r>
    </w:p>
    <w:p>
      <w:pPr>
        <w:pStyle w:val="TextBody"/>
        <w:bidi w:val="0"/>
        <w:spacing w:before="200" w:after="200"/>
        <w:ind w:left="0" w:right="0" w:firstLine="720"/>
        <w:jc w:val="both"/>
        <w:rPr/>
      </w:pPr>
      <w:r>
        <w:rPr/>
        <w:t xml:space="preserve">(f) Any termination of this Agreement shall be effective on the date specified in such notice of termination; </w:t>
      </w:r>
      <w:r>
        <w:rPr>
          <w:i/>
        </w:rPr>
        <w:t>provided</w:t>
      </w:r>
      <w:r>
        <w:rPr/>
        <w:t xml:space="preserve">, </w:t>
      </w:r>
      <w:r>
        <w:rPr>
          <w:i/>
        </w:rPr>
        <w:t>however</w:t>
      </w:r>
      <w:r>
        <w:rPr/>
        <w:t>, that such termination shall not be effective until the close of business on the date of receipt of such notice by the Sales Agents or the Company, as the case may be. If such termination shall occur prior to the Settlement Date for any sale of Placement Shares, such termination shall not become effective until the close of business on such Settlement Date and such Placement Shares shall settle in accordance with the provisions of this Agreement.</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41" w:name="page_26"/>
      <w:bookmarkEnd w:id="41"/>
      <w:r>
        <w:rPr/>
        <w:t xml:space="preserve">12. </w:t>
      </w:r>
      <w:r>
        <w:rPr>
          <w:u w:val="single"/>
        </w:rPr>
        <w:t>Notices</w:t>
      </w:r>
      <w:r>
        <w:rPr/>
        <w:t>. All notices or other communications required or permitted to be given by any party to any other party pursuant to the terms of this Agreement shall be in writing, unless otherwise specified, and if sent to the Sales Agents, shall be delivered to:</w:t>
      </w:r>
    </w:p>
    <w:p>
      <w:pPr>
        <w:pStyle w:val="TextBody"/>
        <w:bidi w:val="0"/>
        <w:spacing w:before="200" w:after="0"/>
        <w:ind w:left="0" w:right="0" w:firstLine="1440"/>
        <w:jc w:val="both"/>
        <w:rPr/>
      </w:pPr>
      <w:r>
        <w:rPr/>
        <w:t>A.G.P./Alliance Global Partners</w:t>
      </w:r>
    </w:p>
    <w:p>
      <w:pPr>
        <w:pStyle w:val="TextBody"/>
        <w:bidi w:val="0"/>
        <w:spacing w:before="0" w:after="0"/>
        <w:ind w:left="0" w:right="0" w:firstLine="1440"/>
        <w:jc w:val="both"/>
        <w:rPr/>
      </w:pPr>
      <w:r>
        <w:rPr/>
        <w:t>590 Madison Avenue, 28</w:t>
      </w:r>
      <w:r>
        <w:rPr>
          <w:position w:val="8"/>
          <w:sz w:val="19"/>
        </w:rPr>
        <w:t>th</w:t>
      </w:r>
      <w:r>
        <w:rPr/>
        <w:t xml:space="preserve"> Floor</w:t>
      </w:r>
    </w:p>
    <w:p>
      <w:pPr>
        <w:pStyle w:val="TextBody"/>
        <w:bidi w:val="0"/>
        <w:spacing w:before="0" w:after="0"/>
        <w:ind w:left="1440" w:right="0" w:hanging="0"/>
        <w:jc w:val="both"/>
        <w:rPr/>
      </w:pPr>
      <w:r>
        <w:rPr/>
        <w:t>New York, NY 10022</w:t>
      </w:r>
    </w:p>
    <w:p>
      <w:pPr>
        <w:pStyle w:val="TextBody"/>
        <w:bidi w:val="0"/>
        <w:spacing w:before="0" w:after="200"/>
        <w:ind w:left="1440" w:right="0" w:hanging="0"/>
        <w:jc w:val="both"/>
        <w:rPr/>
      </w:pPr>
      <w:r>
        <w:rPr/>
        <w:t>Attention: Thomas J. Higgins</w:t>
      </w:r>
    </w:p>
    <w:p>
      <w:pPr>
        <w:pStyle w:val="TextBody"/>
        <w:bidi w:val="0"/>
        <w:spacing w:before="200" w:after="0"/>
        <w:ind w:left="1440" w:right="0" w:hanging="0"/>
        <w:jc w:val="both"/>
        <w:rPr/>
      </w:pPr>
      <w:r>
        <w:rPr/>
        <w:t>Maxim Group LLC</w:t>
      </w:r>
    </w:p>
    <w:p>
      <w:pPr>
        <w:pStyle w:val="TextBody"/>
        <w:bidi w:val="0"/>
        <w:spacing w:before="0" w:after="0"/>
        <w:ind w:left="1440" w:right="0" w:hanging="0"/>
        <w:jc w:val="both"/>
        <w:rPr/>
      </w:pPr>
      <w:r>
        <w:rPr/>
        <w:t>300 Park Avenue</w:t>
      </w:r>
    </w:p>
    <w:p>
      <w:pPr>
        <w:pStyle w:val="TextBody"/>
        <w:bidi w:val="0"/>
        <w:spacing w:before="0" w:after="200"/>
        <w:ind w:left="1440" w:right="0" w:hanging="0"/>
        <w:jc w:val="both"/>
        <w:rPr/>
      </w:pPr>
      <w:r>
        <w:rPr/>
        <w:t>New York, NY 10022</w:t>
      </w:r>
    </w:p>
    <w:p>
      <w:pPr>
        <w:pStyle w:val="TextBody"/>
        <w:bidi w:val="0"/>
        <w:spacing w:before="200" w:after="200"/>
        <w:jc w:val="both"/>
        <w:rPr/>
      </w:pPr>
      <w:r>
        <w:rPr/>
        <w:t>with a copy (which shall not constitute notice) to:</w:t>
      </w:r>
    </w:p>
    <w:p>
      <w:pPr>
        <w:pStyle w:val="TextBody"/>
        <w:bidi w:val="0"/>
        <w:spacing w:before="200" w:after="0"/>
        <w:ind w:left="1440" w:right="0" w:hanging="0"/>
        <w:jc w:val="both"/>
        <w:rPr/>
      </w:pPr>
      <w:r>
        <w:rPr/>
        <w:t>Thompson Hine LLP</w:t>
      </w:r>
    </w:p>
    <w:p>
      <w:pPr>
        <w:pStyle w:val="TextBody"/>
        <w:bidi w:val="0"/>
        <w:spacing w:before="0" w:after="0"/>
        <w:ind w:left="1440" w:right="0" w:hanging="0"/>
        <w:jc w:val="both"/>
        <w:rPr/>
      </w:pPr>
      <w:r>
        <w:rPr/>
        <w:t>300 Madison Avenue, 27</w:t>
      </w:r>
      <w:r>
        <w:rPr>
          <w:position w:val="8"/>
          <w:sz w:val="19"/>
        </w:rPr>
        <w:t>th</w:t>
      </w:r>
      <w:r>
        <w:rPr/>
        <w:t xml:space="preserve"> Floor</w:t>
      </w:r>
    </w:p>
    <w:p>
      <w:pPr>
        <w:pStyle w:val="TextBody"/>
        <w:bidi w:val="0"/>
        <w:spacing w:before="0" w:after="200"/>
        <w:ind w:left="1440" w:right="0" w:hanging="0"/>
        <w:jc w:val="both"/>
        <w:rPr/>
      </w:pPr>
      <w:r>
        <w:rPr/>
        <w:t>New York, New York 10017</w:t>
        <w:br/>
        <w:t>Attention: Faith L. Charles</w:t>
      </w:r>
    </w:p>
    <w:p>
      <w:pPr>
        <w:pStyle w:val="TextBody"/>
        <w:bidi w:val="0"/>
        <w:spacing w:before="200" w:after="200"/>
        <w:jc w:val="both"/>
        <w:rPr/>
      </w:pPr>
      <w:r>
        <w:rPr/>
        <w:t>and if to the Company, shall be delivered to:</w:t>
      </w:r>
    </w:p>
    <w:p>
      <w:pPr>
        <w:pStyle w:val="TextBody"/>
        <w:bidi w:val="0"/>
        <w:spacing w:before="200" w:after="0"/>
        <w:ind w:left="720" w:right="0" w:firstLine="720"/>
        <w:jc w:val="both"/>
        <w:rPr/>
      </w:pPr>
      <w:r>
        <w:rPr/>
        <w:t>Sphere 3D Corp.</w:t>
      </w:r>
    </w:p>
    <w:p>
      <w:pPr>
        <w:pStyle w:val="TextBody"/>
        <w:bidi w:val="0"/>
        <w:spacing w:before="0" w:after="0"/>
        <w:ind w:left="720" w:right="0" w:firstLine="720"/>
        <w:jc w:val="both"/>
        <w:rPr/>
      </w:pPr>
      <w:r>
        <w:rPr/>
        <w:t>Attn: Joel Block</w:t>
      </w:r>
    </w:p>
    <w:p>
      <w:pPr>
        <w:pStyle w:val="TextBody"/>
        <w:bidi w:val="0"/>
        <w:spacing w:before="0" w:after="0"/>
        <w:ind w:left="720" w:right="0" w:firstLine="720"/>
        <w:jc w:val="both"/>
        <w:rPr/>
      </w:pPr>
      <w:r>
        <w:rPr/>
        <w:t>243 Tresser Blvd, 17</w:t>
      </w:r>
      <w:r>
        <w:rPr>
          <w:position w:val="8"/>
          <w:sz w:val="19"/>
        </w:rPr>
        <w:t>th</w:t>
      </w:r>
      <w:r>
        <w:rPr/>
        <w:t xml:space="preserve"> Floor</w:t>
      </w:r>
    </w:p>
    <w:p>
      <w:pPr>
        <w:pStyle w:val="TextBody"/>
        <w:bidi w:val="0"/>
        <w:spacing w:before="0" w:after="200"/>
        <w:ind w:left="720" w:right="0" w:firstLine="720"/>
        <w:jc w:val="both"/>
        <w:rPr/>
      </w:pPr>
      <w:r>
        <w:rPr/>
        <w:t>Stamford, CT</w:t>
      </w:r>
    </w:p>
    <w:p>
      <w:pPr>
        <w:pStyle w:val="TextBody"/>
        <w:bidi w:val="0"/>
        <w:spacing w:before="200" w:after="200"/>
        <w:jc w:val="both"/>
        <w:rPr/>
      </w:pPr>
      <w:r>
        <w:rPr/>
        <w:t>with a copy (which shall not constitute notice) to:</w:t>
      </w:r>
    </w:p>
    <w:p>
      <w:pPr>
        <w:pStyle w:val="TextBody"/>
        <w:bidi w:val="0"/>
        <w:spacing w:before="200" w:after="0"/>
        <w:ind w:left="1440" w:right="0" w:hanging="0"/>
        <w:jc w:val="both"/>
        <w:rPr/>
      </w:pPr>
      <w:r>
        <w:rPr/>
        <w:t>Greenberg Traurig, P.A.</w:t>
      </w:r>
    </w:p>
    <w:p>
      <w:pPr>
        <w:pStyle w:val="TextBody"/>
        <w:bidi w:val="0"/>
        <w:spacing w:before="0" w:after="0"/>
        <w:ind w:left="1440" w:right="0" w:hanging="0"/>
        <w:jc w:val="both"/>
        <w:rPr/>
      </w:pPr>
      <w:r>
        <w:rPr/>
        <w:t>333 S.E. 2nd Avenue, Suite 4400</w:t>
      </w:r>
    </w:p>
    <w:p>
      <w:pPr>
        <w:pStyle w:val="TextBody"/>
        <w:bidi w:val="0"/>
        <w:spacing w:before="0" w:after="0"/>
        <w:ind w:left="1440" w:right="0" w:hanging="0"/>
        <w:jc w:val="both"/>
        <w:rPr/>
      </w:pPr>
      <w:r>
        <w:rPr/>
        <w:t>Miami, FL 33131</w:t>
      </w:r>
    </w:p>
    <w:p>
      <w:pPr>
        <w:pStyle w:val="TextBody"/>
        <w:bidi w:val="0"/>
        <w:spacing w:before="0" w:after="200"/>
        <w:ind w:left="1440" w:right="0" w:hanging="0"/>
        <w:jc w:val="both"/>
        <w:rPr/>
      </w:pPr>
      <w:r>
        <w:rPr/>
        <w:t>Attention: Sami B. Ghneim and Raffael Fiumara</w:t>
      </w:r>
    </w:p>
    <w:p>
      <w:pPr>
        <w:pStyle w:val="TextBody"/>
        <w:bidi w:val="0"/>
        <w:spacing w:before="200" w:after="200"/>
        <w:ind w:left="0" w:right="0" w:firstLine="720"/>
        <w:jc w:val="both"/>
        <w:rPr/>
      </w:pPr>
      <w:r>
        <w:rPr/>
        <w:t>Each party may change such address for notices by sending to the other party to this Agreement written notice of a new address for such purpose. Each such notice or other communication shall be deemed given (i) when delivered personally, by e-mail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b/>
          <w:u w:val="single"/>
        </w:rPr>
        <w:t>Business Day</w:t>
      </w:r>
      <w:r>
        <w:rPr/>
        <w:t>" shall mean any day on which the Exchange and commercial banks in the City of New York are open for business.</w:t>
      </w:r>
    </w:p>
    <w:p>
      <w:pPr>
        <w:pStyle w:val="TextBody"/>
        <w:bidi w:val="0"/>
        <w:spacing w:before="200" w:after="200"/>
        <w:ind w:left="0" w:right="0" w:firstLine="720"/>
        <w:jc w:val="both"/>
        <w:rPr/>
      </w:pPr>
      <w:r>
        <w:rPr/>
        <w:t>An electronic communication ("</w:t>
      </w:r>
      <w:r>
        <w:rPr>
          <w:b/>
          <w:u w:val="single"/>
        </w:rPr>
        <w:t>Electronic Notice</w:t>
      </w:r>
      <w:r>
        <w:rPr/>
        <w:t xml:space="preserve">") shall be deemed written notice for purposes of this </w:t>
      </w:r>
      <w:r>
        <w:rPr>
          <w:u w:val="single"/>
        </w:rPr>
        <w:t>Section 12</w:t>
      </w:r>
      <w:r>
        <w:rPr/>
        <w:t xml:space="preserve"> if sent to the electronic mail address specified by the receiving party under separate cover. Electronic Notice shall be deemed received at the time the party sending Electronic Notice receives confirmation of receipt by the receiving party (other than pursuant to auto-reply). Any party receiving Electronic Notice may request and shall be entitled to receive the notice on paper, in a nonelectronic form ("</w:t>
      </w:r>
      <w:r>
        <w:rPr>
          <w:b/>
          <w:u w:val="single"/>
        </w:rPr>
        <w:t>Nonelectronic Notice</w:t>
      </w:r>
      <w:r>
        <w:rPr/>
        <w:t>") which shall be sent to the requesting party within ten (10) days of receipt of the written request for Nonelectronic Notice.</w:t>
      </w:r>
    </w:p>
    <w:p>
      <w:pPr>
        <w:pStyle w:val="TextBody"/>
        <w:bidi w:val="0"/>
        <w:spacing w:before="200" w:after="200"/>
        <w:ind w:left="0" w:right="0" w:firstLine="720"/>
        <w:jc w:val="both"/>
        <w:rPr/>
      </w:pPr>
      <w:r>
        <w:rPr/>
        <w:t xml:space="preserve">13. </w:t>
      </w:r>
      <w:r>
        <w:rPr>
          <w:u w:val="single"/>
        </w:rPr>
        <w:t>Successors and Assigns</w:t>
      </w:r>
      <w:r>
        <w:rPr/>
        <w:t xml:space="preserve">. This Agreement shall inure to the benefit of and be binding upon the Company and the Sales Agents and their respective successors and permitted assigns and, as to Sections 5(b) and 9, the other indemnified parties specified therein. References to any of the parties contained in this Agreement shall be deemed to include the successors and permitted assigns of such party. Nothing in this Agreement, express or implied, is intended to confer upon any other person any rights, remedies, obligations or liabilities under or by reason of this Agreement, except as expressly provided in this Agreement. Neither party may assign its rights or obligations under this Agreement without the prior written consent of the other party; </w:t>
      </w:r>
      <w:r>
        <w:rPr>
          <w:i/>
        </w:rPr>
        <w:t>provided</w:t>
      </w:r>
      <w:r>
        <w:rPr/>
        <w:t xml:space="preserve">, </w:t>
      </w:r>
      <w:r>
        <w:rPr>
          <w:i/>
        </w:rPr>
        <w:t>however</w:t>
      </w:r>
      <w:r>
        <w:rPr/>
        <w:t>, that the Sales Agents may assign their rights and obligations hereunder to an affiliate of the Sales Agents without obtaining the Company's consent.</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42" w:name="page_27"/>
      <w:bookmarkEnd w:id="42"/>
      <w:r>
        <w:rPr/>
        <w:t xml:space="preserve">14. </w:t>
      </w:r>
      <w:r>
        <w:rPr>
          <w:u w:val="single"/>
        </w:rPr>
        <w:t>Adjustments for Share Splits</w:t>
      </w:r>
      <w:r>
        <w:rPr/>
        <w:t>. The parties acknowledge and agree that all share-related numbers contained in this Agreement shall be adjusted to take into account any share split, share dividend or similar event effected with respect to the Common Shares.</w:t>
      </w:r>
    </w:p>
    <w:p>
      <w:pPr>
        <w:pStyle w:val="TextBody"/>
        <w:bidi w:val="0"/>
        <w:spacing w:before="200" w:after="200"/>
        <w:ind w:left="0" w:right="0" w:firstLine="720"/>
        <w:jc w:val="both"/>
        <w:rPr/>
      </w:pPr>
      <w:r>
        <w:rPr/>
        <w:t xml:space="preserve">15. </w:t>
      </w:r>
      <w:r>
        <w:rPr>
          <w:u w:val="single"/>
        </w:rPr>
        <w:t>Entire Agreement; Amendment; Severability</w:t>
      </w:r>
      <w:r>
        <w:rPr/>
        <w:t>. This Agreement (including all schedules and exhibits attached hereto and Placement Notices issued pursuant hereto) and any other writing entered into by the parties relating to this Agreement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Sales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200" w:after="200"/>
        <w:ind w:left="0" w:right="0" w:firstLine="720"/>
        <w:jc w:val="both"/>
        <w:rPr/>
      </w:pPr>
      <w:r>
        <w:rPr/>
        <w:t xml:space="preserve">16. </w:t>
      </w:r>
      <w:r>
        <w:rPr>
          <w:u w:val="single"/>
        </w:rPr>
        <w:t>Applicable Law; Consent to Jurisdiction</w:t>
      </w:r>
      <w:r>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200" w:after="200"/>
        <w:ind w:left="0" w:right="0" w:firstLine="720"/>
        <w:jc w:val="both"/>
        <w:rPr/>
      </w:pPr>
      <w:r>
        <w:rPr/>
        <w:t xml:space="preserve">17. </w:t>
      </w:r>
      <w:r>
        <w:rPr>
          <w:u w:val="single"/>
        </w:rPr>
        <w:t>Waiver of Jury Trial</w:t>
      </w:r>
      <w:r>
        <w:rPr/>
        <w:t>. The Company and the Sales Agents each hereby irrevocably waives any right it may have to a trial by jury in respect of any claim based upon or arising out of this Agreement or any transaction contemplated hereby.</w:t>
      </w:r>
    </w:p>
    <w:p>
      <w:pPr>
        <w:pStyle w:val="TextBody"/>
        <w:bidi w:val="0"/>
        <w:spacing w:before="200" w:after="200"/>
        <w:ind w:left="0" w:right="0" w:firstLine="720"/>
        <w:jc w:val="both"/>
        <w:rPr/>
      </w:pPr>
      <w:r>
        <w:rPr/>
        <w:t xml:space="preserve">18. </w:t>
      </w:r>
      <w:r>
        <w:rPr>
          <w:u w:val="single"/>
        </w:rPr>
        <w:t>Absence of Fiduciary Relationship</w:t>
      </w:r>
      <w:r>
        <w:rPr/>
        <w:t>. The Company acknowledges and agrees that:</w:t>
      </w:r>
    </w:p>
    <w:p>
      <w:pPr>
        <w:pStyle w:val="TextBody"/>
        <w:bidi w:val="0"/>
        <w:spacing w:before="200" w:after="200"/>
        <w:ind w:left="0" w:right="0" w:firstLine="720"/>
        <w:jc w:val="both"/>
        <w:rPr/>
      </w:pPr>
      <w:r>
        <w:rPr/>
        <w:t>(a) the Sales Agents are acting solely as agent in connection with the sale of the Placement Shares contemplated by this Agreement and the process leading to such transactions, and no fiduciary or advisory relationship between the Company or any of its respective affiliates, stockholders (or other equity holders), creditors or employees or any other party, on the one hand, and the Sales Agents, on the other hand, has been or will be created in respect of any of the transactions contemplated by this Agreement, irrespective of whether the Sales Agents have advised or are advising the Company on other matters, and the Sales Agents have no obligation to the Company with respect to the transactions contemplated by this Agreement, except the obligations expressly set forth in this Agreement;</w:t>
      </w:r>
    </w:p>
    <w:p>
      <w:pPr>
        <w:pStyle w:val="TextBody"/>
        <w:bidi w:val="0"/>
        <w:spacing w:before="200" w:after="200"/>
        <w:ind w:left="0" w:right="0" w:firstLine="720"/>
        <w:jc w:val="both"/>
        <w:rPr/>
      </w:pPr>
      <w:r>
        <w:rPr/>
        <w:t>(b) the Company is capable of evaluating and understanding and understands and accepts the terms, risks and conditions of the transactions contemplated by this Agreement;</w:t>
      </w:r>
    </w:p>
    <w:p>
      <w:pPr>
        <w:pStyle w:val="TextBody"/>
        <w:bidi w:val="0"/>
        <w:spacing w:before="200" w:after="200"/>
        <w:ind w:left="0" w:right="0" w:firstLine="720"/>
        <w:jc w:val="both"/>
        <w:rPr/>
      </w:pPr>
      <w:r>
        <w:rPr/>
        <w:t>(c) the Sales Agents have not provided any legal, accounting, regulatory or tax advice with respect to the transactions contemplated by this Agreement, and the Company has consulted its own legal, accounting, regulatory and tax advisors to the extent it has deemed appropriate;</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43" w:name="page_28"/>
      <w:bookmarkEnd w:id="43"/>
      <w:r>
        <w:rPr/>
        <w:t>(d) the Company has been advised and is aware that the Sales Agents and their affiliates are engaged in a broad range of transactions which may involve interests that differ from those of the Company and that the Sales Agents have no obligation to disclose such interests and transactions to the Company by virtue of any fiduciary, advisory or agency relationship; and</w:t>
      </w:r>
    </w:p>
    <w:p>
      <w:pPr>
        <w:pStyle w:val="TextBody"/>
        <w:bidi w:val="0"/>
        <w:spacing w:before="200" w:after="200"/>
        <w:ind w:left="0" w:right="0" w:firstLine="720"/>
        <w:jc w:val="both"/>
        <w:rPr/>
      </w:pPr>
      <w:r>
        <w:rPr/>
        <w:t>(e) the Company waives, to the fullest extent permitted by law, any claims it may have against the Sales Agents, for breach of fiduciary duty or alleged breach of fiduciary duty and agrees that the Sales Agents shall have no liability (whether direct or indirect, in contract, tort or otherwise) to the Company in respect of such a fiduciary claim or to any person asserting a fiduciary duty claim on behalf of or in right of the Company, including stockholders, partners, employees or creditors of the Company.</w:t>
      </w:r>
    </w:p>
    <w:p>
      <w:pPr>
        <w:pStyle w:val="TextBody"/>
        <w:bidi w:val="0"/>
        <w:spacing w:before="200" w:after="200"/>
        <w:ind w:left="0" w:right="0" w:firstLine="720"/>
        <w:jc w:val="both"/>
        <w:rPr/>
      </w:pPr>
      <w:r>
        <w:rPr/>
        <w:t xml:space="preserve">19. </w:t>
      </w:r>
      <w:r>
        <w:rPr>
          <w:u w:val="single"/>
        </w:rPr>
        <w:t>Use of Information</w:t>
      </w:r>
      <w:r>
        <w:rPr/>
        <w:t>. The Sales Agents may not provide any information gained in connection with this Agreement and the transactions contemplated by this Agreement, including due diligence (collectively, the "</w:t>
      </w:r>
      <w:r>
        <w:rPr>
          <w:b/>
        </w:rPr>
        <w:t>Information</w:t>
      </w:r>
      <w:r>
        <w:rPr/>
        <w:t>"), to any third party other than its legal counsel advising it on this Agreement unless expressly approved by the Company in writing. The Sales Agents agree to use the same measures to protect the confidentiality of the Information that they use to protect the confidentiality of its own proprietary and confidential information and materials of like kind, but in no event less than a reasonable standard of care.</w:t>
      </w:r>
    </w:p>
    <w:p>
      <w:pPr>
        <w:pStyle w:val="TextBody"/>
        <w:bidi w:val="0"/>
        <w:spacing w:before="200" w:after="200"/>
        <w:ind w:left="0" w:right="0" w:firstLine="720"/>
        <w:jc w:val="both"/>
        <w:rPr/>
      </w:pPr>
      <w:r>
        <w:rPr/>
        <w:t xml:space="preserve">20. </w:t>
      </w:r>
      <w:r>
        <w:rPr>
          <w:u w:val="single"/>
        </w:rPr>
        <w:t>Counterparts</w:t>
      </w:r>
      <w:r>
        <w:rPr/>
        <w:t>. This Agreement may be executed in two or more counterparts, each of which shall be deemed an original, but all of which together shall constitute one and the same instrument. Delivery of an executed Agreement by one party to the other may be made by facsimile, e-mail or other means of electronic transmission.</w:t>
      </w:r>
    </w:p>
    <w:p>
      <w:pPr>
        <w:pStyle w:val="TextBody"/>
        <w:bidi w:val="0"/>
        <w:spacing w:before="200" w:after="200"/>
        <w:ind w:left="0" w:right="0" w:firstLine="720"/>
        <w:jc w:val="both"/>
        <w:rPr/>
      </w:pPr>
      <w:r>
        <w:rPr/>
        <w:t xml:space="preserve">21. </w:t>
      </w:r>
      <w:r>
        <w:rPr>
          <w:u w:val="single"/>
        </w:rPr>
        <w:t>Effect of Headings; Knowledge of the Company</w:t>
      </w:r>
      <w:r>
        <w:rPr/>
        <w:t>. The section and Exhibit headings herein are for convenience only and shall not affect the construction hereof. All references in this Agreement to the "knowledge of the Company" or the "Company's knowledge" or similar qualifiers shall mean the actual knowledge of the directors and officers of the Company, after due inquiry.</w:t>
      </w:r>
    </w:p>
    <w:p>
      <w:pPr>
        <w:pStyle w:val="TextBody"/>
        <w:bidi w:val="0"/>
        <w:spacing w:before="200" w:after="200"/>
        <w:ind w:left="0" w:right="0" w:firstLine="720"/>
        <w:jc w:val="both"/>
        <w:rPr/>
      </w:pPr>
      <w:r>
        <w:rPr/>
        <w:t xml:space="preserve">22. </w:t>
      </w:r>
      <w:r>
        <w:rPr>
          <w:u w:val="single"/>
        </w:rPr>
        <w:t>Definitions</w:t>
      </w:r>
      <w:r>
        <w:rPr/>
        <w:t>. As used in this Agreement, the following term has the meaning set forth below:</w:t>
      </w:r>
    </w:p>
    <w:p>
      <w:pPr>
        <w:pStyle w:val="TextBody"/>
        <w:bidi w:val="0"/>
        <w:spacing w:before="200" w:after="200"/>
        <w:ind w:left="1080" w:right="0" w:hanging="0"/>
        <w:jc w:val="both"/>
        <w:rPr/>
      </w:pPr>
      <w:r>
        <w:rPr/>
        <w:t>(a) "</w:t>
      </w:r>
      <w:r>
        <w:rPr>
          <w:i/>
        </w:rPr>
        <w:t>Applicable Time</w:t>
      </w:r>
      <w:r>
        <w:rPr/>
        <w:t>" means the date of this Agreement, each Representation Date, each date on which a Placement Notice is given, each Point of Sale, and each Settlement Date.</w:t>
      </w:r>
    </w:p>
    <w:p>
      <w:pPr>
        <w:pStyle w:val="TextBody"/>
        <w:bidi w:val="0"/>
        <w:spacing w:before="200" w:after="200"/>
        <w:jc w:val="center"/>
        <w:rPr>
          <w:b/>
        </w:rPr>
      </w:pPr>
      <w:r>
        <w:rPr>
          <w:b/>
        </w:rPr>
        <w:t>[Remainder of Page Intentionally Blank]</w:t>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44" w:name="page_29"/>
      <w:bookmarkEnd w:id="44"/>
      <w:r>
        <w:rPr/>
        <w:t>If the foregoing correctly sets forth the understanding between the Company and the Sales Agents, please so indicate in the space provided below for that purpose, whereupon this letter shall constitute a binding agreement between the Company and the Sales Agents.</w:t>
      </w:r>
    </w:p>
    <w:p>
      <w:pPr>
        <w:pStyle w:val="TextBody"/>
        <w:bidi w:val="0"/>
        <w:spacing w:before="200" w:after="200"/>
        <w:ind w:left="240" w:right="0" w:hanging="0"/>
        <w:jc w:val="both"/>
        <w:rPr/>
      </w:pPr>
      <w:r>
        <w:rPr/>
        <w:t>Very truly yours,</w:t>
      </w:r>
    </w:p>
    <w:p>
      <w:pPr>
        <w:pStyle w:val="TextBody"/>
        <w:bidi w:val="0"/>
        <w:spacing w:before="200" w:after="200"/>
        <w:ind w:left="240" w:right="0" w:hanging="0"/>
        <w:jc w:val="both"/>
        <w:rPr>
          <w:b/>
        </w:rPr>
      </w:pPr>
      <w:r>
        <w:rPr>
          <w:b/>
        </w:rPr>
        <w:t>SPHERE 3D CORP.</w:t>
      </w:r>
    </w:p>
    <w:tbl>
      <w:tblPr>
        <w:tblW w:w="3325" w:type="dxa"/>
        <w:jc w:val="left"/>
        <w:tblInd w:w="240" w:type="dxa"/>
        <w:tblLayout w:type="fixed"/>
        <w:tblCellMar>
          <w:top w:w="0" w:type="dxa"/>
          <w:left w:w="0" w:type="dxa"/>
          <w:bottom w:w="0" w:type="dxa"/>
          <w:right w:w="0" w:type="dxa"/>
        </w:tblCellMar>
      </w:tblPr>
      <w:tblGrid>
        <w:gridCol w:w="365"/>
        <w:gridCol w:w="2900"/>
        <w:gridCol w:w="60"/>
      </w:tblGrid>
      <w:tr>
        <w:trPr/>
        <w:tc>
          <w:tcPr>
            <w:tcW w:w="365" w:type="dxa"/>
            <w:tcBorders/>
            <w:vAlign w:val="center"/>
          </w:tcPr>
          <w:p>
            <w:pPr>
              <w:pStyle w:val="TableContents"/>
              <w:bidi w:val="0"/>
              <w:spacing w:before="0" w:after="283"/>
              <w:jc w:val="left"/>
              <w:rPr/>
            </w:pPr>
            <w:r>
              <w:rPr/>
              <w:t>By:</w:t>
            </w:r>
          </w:p>
        </w:tc>
        <w:tc>
          <w:tcPr>
            <w:tcW w:w="2900" w:type="dxa"/>
            <w:tcBorders>
              <w:bottom w:val="single" w:sz="6" w:space="0" w:color="000000"/>
            </w:tcBorders>
            <w:tcMar>
              <w:bottom w:w="28" w:type="dxa"/>
            </w:tcMar>
            <w:vAlign w:val="center"/>
          </w:tcPr>
          <w:p>
            <w:pPr>
              <w:pStyle w:val="TableContents"/>
              <w:bidi w:val="0"/>
              <w:spacing w:before="0" w:after="283"/>
              <w:jc w:val="left"/>
              <w:rPr/>
            </w:pPr>
            <w:r>
              <w:rPr/>
              <w:t>/s/ Joel Block</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Name:  Joel Block</w:t>
              <w:br/>
              <w:t>Title: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200" w:after="200"/>
        <w:ind w:left="240" w:right="0" w:hanging="0"/>
        <w:jc w:val="left"/>
        <w:rPr>
          <w:b/>
        </w:rPr>
      </w:pPr>
      <w:r>
        <w:rPr>
          <w:b/>
        </w:rPr>
        <w:t>ACCEPTED as of the date first-above written:</w:t>
      </w:r>
    </w:p>
    <w:p>
      <w:pPr>
        <w:pStyle w:val="TextBody"/>
        <w:bidi w:val="0"/>
        <w:spacing w:before="200" w:after="200"/>
        <w:ind w:left="240" w:right="0" w:hanging="0"/>
        <w:jc w:val="left"/>
        <w:rPr>
          <w:b/>
        </w:rPr>
      </w:pPr>
      <w:r>
        <w:rPr>
          <w:b/>
        </w:rPr>
        <w:t>A.G.P./ALLIANCE GLOBAL PARTNERS</w:t>
      </w:r>
    </w:p>
    <w:tbl>
      <w:tblPr>
        <w:tblW w:w="2920" w:type="dxa"/>
        <w:jc w:val="left"/>
        <w:tblInd w:w="240" w:type="dxa"/>
        <w:tblLayout w:type="fixed"/>
        <w:tblCellMar>
          <w:top w:w="0" w:type="dxa"/>
          <w:left w:w="0" w:type="dxa"/>
          <w:bottom w:w="0" w:type="dxa"/>
          <w:right w:w="0" w:type="dxa"/>
        </w:tblCellMar>
      </w:tblPr>
      <w:tblGrid>
        <w:gridCol w:w="365"/>
        <w:gridCol w:w="2495"/>
        <w:gridCol w:w="60"/>
      </w:tblGrid>
      <w:tr>
        <w:trPr/>
        <w:tc>
          <w:tcPr>
            <w:tcW w:w="365" w:type="dxa"/>
            <w:tcBorders/>
            <w:vAlign w:val="center"/>
          </w:tcPr>
          <w:p>
            <w:pPr>
              <w:pStyle w:val="TableContents"/>
              <w:bidi w:val="0"/>
              <w:spacing w:before="0" w:after="283"/>
              <w:jc w:val="left"/>
              <w:rPr/>
            </w:pPr>
            <w:r>
              <w:rPr/>
              <w:t>By:</w:t>
            </w:r>
          </w:p>
        </w:tc>
        <w:tc>
          <w:tcPr>
            <w:tcW w:w="2495" w:type="dxa"/>
            <w:tcBorders>
              <w:bottom w:val="single" w:sz="6" w:space="0" w:color="000000"/>
            </w:tcBorders>
            <w:tcMar>
              <w:bottom w:w="28" w:type="dxa"/>
            </w:tcMar>
            <w:vAlign w:val="center"/>
          </w:tcPr>
          <w:p>
            <w:pPr>
              <w:pStyle w:val="TableContents"/>
              <w:bidi w:val="0"/>
              <w:spacing w:before="0" w:after="283"/>
              <w:jc w:val="left"/>
              <w:rPr/>
            </w:pPr>
            <w:r>
              <w:rPr/>
              <w:t>/s/ Thomas J. Higgins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Name: Thomas J. Higgins</w:t>
              <w:br/>
              <w:t>Title: Managing Director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240" w:right="0" w:hanging="0"/>
        <w:jc w:val="left"/>
        <w:rPr/>
      </w:pPr>
      <w:r>
        <w:rPr/>
      </w:r>
    </w:p>
    <w:p>
      <w:pPr>
        <w:pStyle w:val="HorizontalLine"/>
        <w:pBdr>
          <w:bottom w:val="single" w:sz="30" w:space="0" w:color="000000"/>
        </w:pBdr>
        <w:bidi w:val="0"/>
        <w:jc w:val="left"/>
        <w:rPr/>
      </w:pPr>
      <w:r>
        <w:rPr/>
      </w:r>
    </w:p>
    <w:p>
      <w:pPr>
        <w:pStyle w:val="TextBody"/>
        <w:bidi w:val="0"/>
        <w:spacing w:before="200" w:after="200"/>
        <w:ind w:left="0" w:right="0" w:firstLine="720"/>
        <w:jc w:val="both"/>
        <w:rPr/>
      </w:pPr>
      <w:bookmarkStart w:id="45" w:name="page_30"/>
      <w:bookmarkEnd w:id="45"/>
      <w:r>
        <w:rPr/>
        <w:t>If the foregoing correctly sets forth the understanding between the Company and the Sales Agents, please so indicate in the space provided below for that purpose, whereupon this letter shall constitute a binding agreement between the Company and the Sales Agents.</w:t>
      </w:r>
    </w:p>
    <w:p>
      <w:pPr>
        <w:pStyle w:val="TextBody"/>
        <w:bidi w:val="0"/>
        <w:spacing w:before="200" w:after="200"/>
        <w:ind w:left="240" w:right="0" w:hanging="0"/>
        <w:jc w:val="both"/>
        <w:rPr/>
      </w:pPr>
      <w:r>
        <w:rPr/>
        <w:t>Very truly yours,</w:t>
      </w:r>
    </w:p>
    <w:p>
      <w:pPr>
        <w:pStyle w:val="TextBody"/>
        <w:bidi w:val="0"/>
        <w:spacing w:before="200" w:after="200"/>
        <w:ind w:left="240" w:right="0" w:hanging="0"/>
        <w:jc w:val="both"/>
        <w:rPr>
          <w:b/>
        </w:rPr>
      </w:pPr>
      <w:r>
        <w:rPr>
          <w:b/>
        </w:rPr>
        <w:t>SPHERE 3D CORP.</w:t>
      </w:r>
    </w:p>
    <w:tbl>
      <w:tblPr>
        <w:tblW w:w="2959" w:type="dxa"/>
        <w:jc w:val="left"/>
        <w:tblInd w:w="240" w:type="dxa"/>
        <w:tblLayout w:type="fixed"/>
        <w:tblCellMar>
          <w:top w:w="0" w:type="dxa"/>
          <w:left w:w="0" w:type="dxa"/>
          <w:bottom w:w="0" w:type="dxa"/>
          <w:right w:w="0" w:type="dxa"/>
        </w:tblCellMar>
      </w:tblPr>
      <w:tblGrid>
        <w:gridCol w:w="637"/>
        <w:gridCol w:w="2262"/>
        <w:gridCol w:w="60"/>
      </w:tblGrid>
      <w:tr>
        <w:trPr/>
        <w:tc>
          <w:tcPr>
            <w:tcW w:w="637" w:type="dxa"/>
            <w:tcBorders/>
            <w:vAlign w:val="center"/>
          </w:tcPr>
          <w:p>
            <w:pPr>
              <w:pStyle w:val="TableContents"/>
              <w:bidi w:val="0"/>
              <w:spacing w:before="0" w:after="283"/>
              <w:jc w:val="left"/>
              <w:rPr/>
            </w:pPr>
            <w:r>
              <w:rPr/>
              <w:t>By:</w:t>
            </w:r>
          </w:p>
        </w:tc>
        <w:tc>
          <w:tcPr>
            <w:tcW w:w="2262" w:type="dxa"/>
            <w:tcBorders>
              <w:bottom w:val="single" w:sz="6" w:space="0" w:color="000000"/>
            </w:tcBorders>
            <w:tcMar>
              <w:bottom w:w="28" w:type="dxa"/>
            </w:tcMar>
            <w:vAlign w:val="center"/>
          </w:tcPr>
          <w:p>
            <w:pPr>
              <w:pStyle w:val="TableContents"/>
              <w:bidi w:val="0"/>
              <w:spacing w:before="0" w:after="283"/>
              <w:jc w:val="left"/>
              <w:rPr/>
            </w:pPr>
            <w:r>
              <w:rPr/>
              <w:t>/s/ Joel Block</w:t>
            </w:r>
          </w:p>
        </w:tc>
        <w:tc>
          <w:tcPr>
            <w:tcW w:w="60"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Name:  Joel Block</w:t>
            </w:r>
          </w:p>
        </w:tc>
        <w:tc>
          <w:tcPr>
            <w:tcW w:w="60"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Title: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200" w:after="200"/>
        <w:ind w:left="240" w:right="0" w:hanging="0"/>
        <w:jc w:val="left"/>
        <w:rPr>
          <w:b/>
        </w:rPr>
      </w:pPr>
      <w:r>
        <w:rPr>
          <w:b/>
        </w:rPr>
        <w:t>ACCEPTED as of the date first-above written:</w:t>
      </w:r>
    </w:p>
    <w:p>
      <w:pPr>
        <w:pStyle w:val="TextBody"/>
        <w:bidi w:val="0"/>
        <w:spacing w:before="200" w:after="200"/>
        <w:ind w:left="240" w:right="0" w:hanging="0"/>
        <w:jc w:val="left"/>
        <w:rPr>
          <w:b/>
        </w:rPr>
      </w:pPr>
      <w:r>
        <w:rPr>
          <w:b/>
        </w:rPr>
        <w:t xml:space="preserve">MAXIM GROUP LLC  </w:t>
      </w:r>
    </w:p>
    <w:tbl>
      <w:tblPr>
        <w:tblW w:w="3724" w:type="dxa"/>
        <w:jc w:val="left"/>
        <w:tblInd w:w="240" w:type="dxa"/>
        <w:tblLayout w:type="fixed"/>
        <w:tblCellMar>
          <w:top w:w="0" w:type="dxa"/>
          <w:left w:w="0" w:type="dxa"/>
          <w:bottom w:w="0" w:type="dxa"/>
          <w:right w:w="0" w:type="dxa"/>
        </w:tblCellMar>
      </w:tblPr>
      <w:tblGrid>
        <w:gridCol w:w="604"/>
        <w:gridCol w:w="3060"/>
        <w:gridCol w:w="60"/>
      </w:tblGrid>
      <w:tr>
        <w:trPr/>
        <w:tc>
          <w:tcPr>
            <w:tcW w:w="604" w:type="dxa"/>
            <w:tcBorders/>
            <w:vAlign w:val="center"/>
          </w:tcPr>
          <w:p>
            <w:pPr>
              <w:pStyle w:val="TableContents"/>
              <w:bidi w:val="0"/>
              <w:spacing w:before="0" w:after="283"/>
              <w:jc w:val="left"/>
              <w:rPr/>
            </w:pPr>
            <w:r>
              <w:rPr/>
              <w:t>By:</w:t>
            </w:r>
          </w:p>
        </w:tc>
        <w:tc>
          <w:tcPr>
            <w:tcW w:w="3060" w:type="dxa"/>
            <w:tcBorders>
              <w:bottom w:val="single" w:sz="6" w:space="0" w:color="000000"/>
            </w:tcBorders>
            <w:tcMar>
              <w:bottom w:w="28" w:type="dxa"/>
            </w:tcMar>
            <w:vAlign w:val="center"/>
          </w:tcPr>
          <w:p>
            <w:pPr>
              <w:pStyle w:val="TableContents"/>
              <w:bidi w:val="0"/>
              <w:spacing w:before="0" w:after="283"/>
              <w:jc w:val="left"/>
              <w:rPr/>
            </w:pPr>
            <w:r>
              <w:rPr/>
              <w:t>/s/ Ritesh M. Veera</w:t>
            </w:r>
          </w:p>
        </w:tc>
        <w:tc>
          <w:tcPr>
            <w:tcW w:w="60" w:type="dxa"/>
            <w:tcBorders/>
            <w:vAlign w:val="center"/>
          </w:tcPr>
          <w:p>
            <w:pPr>
              <w:pStyle w:val="TableContents"/>
              <w:bidi w:val="0"/>
              <w:spacing w:before="0" w:after="283"/>
              <w:jc w:val="left"/>
              <w:rPr/>
            </w:pPr>
            <w:r>
              <w:rPr/>
              <w:t> </w:t>
            </w:r>
          </w:p>
        </w:tc>
      </w:tr>
      <w:tr>
        <w:trPr/>
        <w:tc>
          <w:tcPr>
            <w:tcW w:w="3664" w:type="dxa"/>
            <w:gridSpan w:val="2"/>
            <w:tcBorders/>
            <w:vAlign w:val="center"/>
          </w:tcPr>
          <w:p>
            <w:pPr>
              <w:pStyle w:val="TableContents"/>
              <w:bidi w:val="0"/>
              <w:spacing w:before="0" w:after="283"/>
              <w:jc w:val="left"/>
              <w:rPr/>
            </w:pPr>
            <w:r>
              <w:rPr/>
              <w:t>Name: Ritesh M. Veera</w:t>
            </w:r>
          </w:p>
        </w:tc>
        <w:tc>
          <w:tcPr>
            <w:tcW w:w="60" w:type="dxa"/>
            <w:tcBorders/>
            <w:vAlign w:val="center"/>
          </w:tcPr>
          <w:p>
            <w:pPr>
              <w:pStyle w:val="TableContents"/>
              <w:bidi w:val="0"/>
              <w:spacing w:before="0" w:after="283"/>
              <w:jc w:val="left"/>
              <w:rPr/>
            </w:pPr>
            <w:r>
              <w:rPr/>
              <w:t> </w:t>
            </w:r>
          </w:p>
        </w:tc>
      </w:tr>
      <w:tr>
        <w:trPr/>
        <w:tc>
          <w:tcPr>
            <w:tcW w:w="3664" w:type="dxa"/>
            <w:gridSpan w:val="2"/>
            <w:tcBorders/>
            <w:vAlign w:val="center"/>
          </w:tcPr>
          <w:p>
            <w:pPr>
              <w:pStyle w:val="TableContents"/>
              <w:bidi w:val="0"/>
              <w:spacing w:before="0" w:after="283"/>
              <w:jc w:val="left"/>
              <w:rPr/>
            </w:pPr>
            <w:r>
              <w:rPr/>
              <w:t>Title: Co-Head of Investment Banking</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240" w:right="0" w:hanging="0"/>
        <w:jc w:val="left"/>
        <w:rPr/>
      </w:pPr>
      <w:r>
        <w:rPr/>
      </w:r>
    </w:p>
    <w:p>
      <w:pPr>
        <w:pStyle w:val="HorizontalLine"/>
        <w:pBdr>
          <w:bottom w:val="single" w:sz="30" w:space="0" w:color="000000"/>
        </w:pBdr>
        <w:bidi w:val="0"/>
        <w:jc w:val="left"/>
        <w:rPr/>
      </w:pPr>
      <w:r>
        <w:rPr/>
      </w:r>
    </w:p>
    <w:p>
      <w:pPr>
        <w:pStyle w:val="TextBody"/>
        <w:bidi w:val="0"/>
        <w:spacing w:before="200" w:after="200"/>
        <w:jc w:val="right"/>
        <w:rPr>
          <w:b/>
          <w:u w:val="single"/>
        </w:rPr>
      </w:pPr>
      <w:bookmarkStart w:id="46" w:name="page_311"/>
      <w:bookmarkEnd w:id="46"/>
      <w:r>
        <w:rPr>
          <w:b/>
          <w:u w:val="single"/>
        </w:rPr>
        <w:t>SCHEDULE 1</w:t>
      </w:r>
    </w:p>
    <w:p>
      <w:pPr>
        <w:pStyle w:val="TextBody"/>
        <w:bidi w:val="0"/>
        <w:spacing w:before="200" w:after="200"/>
        <w:jc w:val="center"/>
        <w:rPr/>
      </w:pPr>
      <w:r>
        <w:rPr/>
        <w:t>__________________________</w:t>
      </w:r>
    </w:p>
    <w:p>
      <w:pPr>
        <w:pStyle w:val="TextBody"/>
        <w:bidi w:val="0"/>
        <w:spacing w:before="200" w:after="0"/>
        <w:jc w:val="center"/>
        <w:rPr>
          <w:b/>
        </w:rPr>
      </w:pPr>
      <w:r>
        <w:rPr>
          <w:b/>
        </w:rPr>
        <w:t>Form of Placement Notice</w:t>
      </w:r>
    </w:p>
    <w:p>
      <w:pPr>
        <w:pStyle w:val="TextBody"/>
        <w:bidi w:val="0"/>
        <w:spacing w:before="0" w:after="200"/>
        <w:jc w:val="center"/>
        <w:rPr/>
      </w:pPr>
      <w:r>
        <w:rPr/>
        <w:t>__________________________</w:t>
      </w:r>
    </w:p>
    <w:tbl>
      <w:tblPr>
        <w:tblW w:w="3895" w:type="dxa"/>
        <w:jc w:val="left"/>
        <w:tblInd w:w="240" w:type="dxa"/>
        <w:tblLayout w:type="fixed"/>
        <w:tblCellMar>
          <w:top w:w="0" w:type="dxa"/>
          <w:left w:w="0" w:type="dxa"/>
          <w:bottom w:w="0" w:type="dxa"/>
          <w:right w:w="0" w:type="dxa"/>
        </w:tblCellMar>
      </w:tblPr>
      <w:tblGrid>
        <w:gridCol w:w="800"/>
        <w:gridCol w:w="3095"/>
      </w:tblGrid>
      <w:tr>
        <w:trPr/>
        <w:tc>
          <w:tcPr>
            <w:tcW w:w="800" w:type="dxa"/>
            <w:tcBorders/>
            <w:vAlign w:val="center"/>
          </w:tcPr>
          <w:p>
            <w:pPr>
              <w:pStyle w:val="TableContents"/>
              <w:bidi w:val="0"/>
              <w:spacing w:before="0" w:after="0"/>
              <w:jc w:val="left"/>
              <w:rPr/>
            </w:pPr>
            <w:r>
              <w:rPr/>
              <w:t>From:</w:t>
            </w:r>
          </w:p>
        </w:tc>
        <w:tc>
          <w:tcPr>
            <w:tcW w:w="3095" w:type="dxa"/>
            <w:tcBorders/>
            <w:vAlign w:val="center"/>
          </w:tcPr>
          <w:p>
            <w:pPr>
              <w:pStyle w:val="TableContents"/>
              <w:bidi w:val="0"/>
              <w:spacing w:before="0" w:after="0"/>
              <w:jc w:val="left"/>
              <w:rPr/>
            </w:pPr>
            <w:r>
              <w:rPr/>
              <w:t>Sphere 3D Corp.</w:t>
            </w:r>
          </w:p>
        </w:tc>
      </w:tr>
      <w:tr>
        <w:trPr/>
        <w:tc>
          <w:tcPr>
            <w:tcW w:w="80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800" w:type="dxa"/>
            <w:tcBorders/>
            <w:vAlign w:val="center"/>
          </w:tcPr>
          <w:p>
            <w:pPr>
              <w:pStyle w:val="TableContents"/>
              <w:bidi w:val="0"/>
              <w:spacing w:before="0" w:after="0"/>
              <w:jc w:val="left"/>
              <w:rPr/>
            </w:pPr>
            <w:r>
              <w:rPr/>
              <w:t>To:</w:t>
            </w:r>
          </w:p>
        </w:tc>
        <w:tc>
          <w:tcPr>
            <w:tcW w:w="3095" w:type="dxa"/>
            <w:tcBorders/>
            <w:vAlign w:val="center"/>
          </w:tcPr>
          <w:p>
            <w:pPr>
              <w:pStyle w:val="TableContents"/>
              <w:bidi w:val="0"/>
              <w:spacing w:before="0" w:after="0"/>
              <w:jc w:val="left"/>
              <w:rPr/>
            </w:pPr>
            <w:r>
              <w:rPr/>
              <w:t>A.G.P./Alliance Global Partners</w:t>
            </w:r>
          </w:p>
        </w:tc>
      </w:tr>
      <w:tr>
        <w:trPr/>
        <w:tc>
          <w:tcPr>
            <w:tcW w:w="80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Attention: [•]</w:t>
            </w:r>
          </w:p>
        </w:tc>
      </w:tr>
      <w:tr>
        <w:trPr/>
        <w:tc>
          <w:tcPr>
            <w:tcW w:w="80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80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left"/>
              <w:rPr/>
            </w:pPr>
            <w:r>
              <w:rPr/>
              <w:t>Maxim Group, LLC</w:t>
            </w:r>
          </w:p>
        </w:tc>
      </w:tr>
      <w:tr>
        <w:trPr/>
        <w:tc>
          <w:tcPr>
            <w:tcW w:w="80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jc w:val="left"/>
              <w:rPr/>
            </w:pPr>
            <w:r>
              <w:rPr/>
              <w:t>Attention: [•]</w:t>
            </w:r>
          </w:p>
        </w:tc>
      </w:tr>
      <w:tr>
        <w:trPr/>
        <w:tc>
          <w:tcPr>
            <w:tcW w:w="80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800" w:type="dxa"/>
            <w:tcBorders/>
            <w:vAlign w:val="center"/>
          </w:tcPr>
          <w:p>
            <w:pPr>
              <w:pStyle w:val="TableContents"/>
              <w:bidi w:val="0"/>
              <w:spacing w:before="0" w:after="0"/>
              <w:jc w:val="left"/>
              <w:rPr/>
            </w:pPr>
            <w:r>
              <w:rPr/>
              <w:t>Subject:</w:t>
            </w:r>
          </w:p>
        </w:tc>
        <w:tc>
          <w:tcPr>
            <w:tcW w:w="3095" w:type="dxa"/>
            <w:tcBorders/>
            <w:vAlign w:val="center"/>
          </w:tcPr>
          <w:p>
            <w:pPr>
              <w:pStyle w:val="TableContents"/>
              <w:bidi w:val="0"/>
              <w:spacing w:before="0" w:after="0"/>
              <w:jc w:val="left"/>
              <w:rPr/>
            </w:pPr>
            <w:r>
              <w:rPr/>
              <w:t>Placement Notice</w:t>
            </w:r>
          </w:p>
        </w:tc>
      </w:tr>
      <w:tr>
        <w:trPr/>
        <w:tc>
          <w:tcPr>
            <w:tcW w:w="80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800" w:type="dxa"/>
            <w:tcBorders/>
            <w:vAlign w:val="center"/>
          </w:tcPr>
          <w:p>
            <w:pPr>
              <w:pStyle w:val="TableContents"/>
              <w:bidi w:val="0"/>
              <w:spacing w:before="0" w:after="0"/>
              <w:jc w:val="left"/>
              <w:rPr/>
            </w:pPr>
            <w:r>
              <w:rPr/>
              <w:t>Date:</w:t>
            </w:r>
          </w:p>
        </w:tc>
        <w:tc>
          <w:tcPr>
            <w:tcW w:w="3095" w:type="dxa"/>
            <w:tcBorders/>
            <w:vAlign w:val="center"/>
          </w:tcPr>
          <w:p>
            <w:pPr>
              <w:pStyle w:val="TableContents"/>
              <w:bidi w:val="0"/>
              <w:spacing w:before="0" w:after="0"/>
              <w:jc w:val="left"/>
              <w:rPr/>
            </w:pPr>
            <w:r>
              <w:rPr/>
              <w:t>[•], 202[•]</w:t>
            </w:r>
          </w:p>
        </w:tc>
      </w:tr>
    </w:tbl>
    <w:p>
      <w:pPr>
        <w:pStyle w:val="TextBody"/>
        <w:bidi w:val="0"/>
        <w:spacing w:before="200" w:after="200"/>
        <w:ind w:left="0" w:right="0" w:firstLine="720"/>
        <w:jc w:val="both"/>
        <w:rPr/>
      </w:pPr>
      <w:r>
        <w:rPr/>
        <w:t>Ladies and Gentlemen:</w:t>
      </w:r>
    </w:p>
    <w:p>
      <w:pPr>
        <w:pStyle w:val="TextBody"/>
        <w:bidi w:val="0"/>
        <w:spacing w:before="200" w:after="200"/>
        <w:ind w:left="0" w:right="0" w:firstLine="720"/>
        <w:jc w:val="both"/>
        <w:rPr/>
      </w:pPr>
      <w:r>
        <w:rPr/>
        <w:t>Pursuant to the terms and subject to the conditions contained in the Sales Agreement (the "</w:t>
      </w:r>
      <w:r>
        <w:rPr>
          <w:b/>
          <w:u w:val="single"/>
        </w:rPr>
        <w:t>Sales Agreement</w:t>
      </w:r>
      <w:r>
        <w:rPr/>
        <w:t xml:space="preserve">") between Sphere 3D Corp., a corporation amalgamated under the </w:t>
      </w:r>
      <w:r>
        <w:rPr>
          <w:i/>
        </w:rPr>
        <w:t>Business Corporations Act (Ontario)</w:t>
      </w:r>
      <w:r>
        <w:rPr/>
        <w:t xml:space="preserve"> (the "</w:t>
      </w:r>
      <w:r>
        <w:rPr>
          <w:b/>
          <w:u w:val="single"/>
        </w:rPr>
        <w:t>Company</w:t>
      </w:r>
      <w:r>
        <w:rPr/>
        <w:t>"), A.G.P./Alliance Global Partners and Maxim Group LLC (the "</w:t>
      </w:r>
      <w:r>
        <w:rPr>
          <w:b/>
          <w:u w:val="single"/>
        </w:rPr>
        <w:t>Sales Agents</w:t>
      </w:r>
      <w:r>
        <w:rPr/>
        <w:t>"), dated July 31, 2026, the Company hereby requests that [identify Designated Sales Agent] sell up to [•] of the Company's common shares, no par value (the "</w:t>
      </w:r>
      <w:r>
        <w:rPr>
          <w:b/>
          <w:u w:val="single"/>
        </w:rPr>
        <w:t>Placement Shares</w:t>
      </w:r>
      <w:r>
        <w:rPr/>
        <w:t>"), at a minimum market price of $[•] per share, during the time period beginning [month, day, time] and ending [month, day, time] [and with no more than [•] Placement Shares sold in any one Trading Day].</w:t>
      </w:r>
    </w:p>
    <w:p>
      <w:pPr>
        <w:pStyle w:val="TextBody"/>
        <w:bidi w:val="0"/>
        <w:spacing w:before="200" w:after="200"/>
        <w:ind w:left="0" w:right="0" w:firstLine="720"/>
        <w:jc w:val="both"/>
        <w:rPr/>
      </w:pPr>
      <w:r>
        <w:rPr/>
        <w:t>[The Company may include such other sale parameters as it deems appropriate.]</w:t>
      </w:r>
    </w:p>
    <w:p>
      <w:pPr>
        <w:pStyle w:val="TextBody"/>
        <w:bidi w:val="0"/>
        <w:spacing w:before="200" w:after="200"/>
        <w:ind w:left="0" w:right="0" w:firstLine="720"/>
        <w:jc w:val="both"/>
        <w:rPr/>
      </w:pPr>
      <w:r>
        <w:rPr/>
        <w:t>Capitalized terms used and not defined herein shall have the respective meanings assigned to them in the Sales Agreement.</w:t>
      </w:r>
    </w:p>
    <w:p>
      <w:pPr>
        <w:pStyle w:val="HorizontalLine"/>
        <w:pBdr>
          <w:bottom w:val="single" w:sz="30" w:space="0" w:color="000000"/>
        </w:pBdr>
        <w:bidi w:val="0"/>
        <w:jc w:val="left"/>
        <w:rPr/>
      </w:pPr>
      <w:r>
        <w:rPr/>
      </w:r>
    </w:p>
    <w:p>
      <w:pPr>
        <w:pStyle w:val="TextBody"/>
        <w:bidi w:val="0"/>
        <w:spacing w:before="200" w:after="0"/>
        <w:jc w:val="right"/>
        <w:rPr>
          <w:b/>
          <w:u w:val="single"/>
        </w:rPr>
      </w:pPr>
      <w:bookmarkStart w:id="47" w:name="page_32"/>
      <w:bookmarkEnd w:id="47"/>
      <w:r>
        <w:rPr>
          <w:b/>
          <w:u w:val="single"/>
        </w:rPr>
        <w:t>SCHEDULE 2</w:t>
      </w:r>
    </w:p>
    <w:p>
      <w:pPr>
        <w:pStyle w:val="TextBody"/>
        <w:bidi w:val="0"/>
        <w:spacing w:before="0" w:after="200"/>
        <w:jc w:val="center"/>
        <w:rPr>
          <w:b/>
          <w:u w:val="single"/>
        </w:rPr>
      </w:pPr>
      <w:r>
        <w:rPr>
          <w:b/>
          <w:u w:val="single"/>
        </w:rPr>
        <w:t>Notice Parties</w:t>
      </w:r>
    </w:p>
    <w:p>
      <w:pPr>
        <w:pStyle w:val="TextBody"/>
        <w:bidi w:val="0"/>
        <w:spacing w:before="200" w:after="200"/>
        <w:jc w:val="both"/>
        <w:rPr>
          <w:u w:val="single"/>
        </w:rPr>
      </w:pPr>
      <w:r>
        <w:rPr>
          <w:u w:val="single"/>
        </w:rPr>
        <w:t xml:space="preserve">Sphere 3D Corp. </w:t>
      </w:r>
    </w:p>
    <w:p>
      <w:pPr>
        <w:pStyle w:val="TextBody"/>
        <w:bidi w:val="0"/>
        <w:spacing w:before="200" w:after="200"/>
        <w:jc w:val="both"/>
        <w:rPr/>
      </w:pPr>
      <w:r>
        <w:rPr/>
        <w:t>[***]</w:t>
      </w:r>
    </w:p>
    <w:p>
      <w:pPr>
        <w:pStyle w:val="TextBody"/>
        <w:bidi w:val="0"/>
        <w:spacing w:before="200" w:after="200"/>
        <w:jc w:val="both"/>
        <w:rPr>
          <w:u w:val="single"/>
        </w:rPr>
      </w:pPr>
      <w:r>
        <w:rPr>
          <w:u w:val="single"/>
        </w:rPr>
        <w:t>The Sales Agents</w:t>
      </w:r>
    </w:p>
    <w:p>
      <w:pPr>
        <w:pStyle w:val="TextBody"/>
        <w:bidi w:val="0"/>
        <w:spacing w:before="200" w:after="200"/>
        <w:jc w:val="both"/>
        <w:rPr>
          <w:b/>
        </w:rPr>
      </w:pPr>
      <w:r>
        <w:rPr>
          <w:b/>
        </w:rPr>
        <w:t xml:space="preserve">A.G.P./Alliance Global Partners </w:t>
      </w:r>
    </w:p>
    <w:p>
      <w:pPr>
        <w:pStyle w:val="TextBody"/>
        <w:bidi w:val="0"/>
        <w:spacing w:before="200" w:after="200"/>
        <w:jc w:val="both"/>
        <w:rPr/>
      </w:pPr>
      <w:r>
        <w:rPr/>
        <w:t>[***]</w:t>
      </w:r>
    </w:p>
    <w:p>
      <w:pPr>
        <w:pStyle w:val="TextBody"/>
        <w:bidi w:val="0"/>
        <w:spacing w:before="200" w:after="200"/>
        <w:jc w:val="both"/>
        <w:rPr/>
      </w:pPr>
      <w:r>
        <w:rPr/>
        <w:t>With copies to:</w:t>
      </w:r>
    </w:p>
    <w:p>
      <w:pPr>
        <w:pStyle w:val="TextBody"/>
        <w:bidi w:val="0"/>
        <w:spacing w:before="200" w:after="200"/>
        <w:jc w:val="both"/>
        <w:rPr/>
      </w:pPr>
      <w:r>
        <w:rPr/>
        <w:t>[***]</w:t>
      </w:r>
    </w:p>
    <w:p>
      <w:pPr>
        <w:pStyle w:val="TextBody"/>
        <w:bidi w:val="0"/>
        <w:spacing w:before="200" w:after="200"/>
        <w:jc w:val="both"/>
        <w:rPr>
          <w:b/>
        </w:rPr>
      </w:pPr>
      <w:r>
        <w:rPr>
          <w:b/>
        </w:rPr>
        <w:t xml:space="preserve">Maxim Group LLC </w:t>
      </w:r>
    </w:p>
    <w:p>
      <w:pPr>
        <w:pStyle w:val="TextBody"/>
        <w:bidi w:val="0"/>
        <w:spacing w:before="200" w:after="200"/>
        <w:jc w:val="both"/>
        <w:rPr/>
      </w:pPr>
      <w:r>
        <w:rPr/>
        <w:t>[***]</w:t>
      </w:r>
    </w:p>
    <w:p>
      <w:pPr>
        <w:pStyle w:val="HorizontalLine"/>
        <w:pBdr>
          <w:bottom w:val="single" w:sz="30" w:space="0" w:color="000000"/>
        </w:pBdr>
        <w:bidi w:val="0"/>
        <w:jc w:val="left"/>
        <w:rPr/>
      </w:pPr>
      <w:r>
        <w:rPr/>
      </w:r>
    </w:p>
    <w:p>
      <w:pPr>
        <w:pStyle w:val="TextBody"/>
        <w:bidi w:val="0"/>
        <w:spacing w:before="200" w:after="200"/>
        <w:jc w:val="right"/>
        <w:rPr>
          <w:b/>
          <w:u w:val="single"/>
        </w:rPr>
      </w:pPr>
      <w:bookmarkStart w:id="48" w:name="page_33"/>
      <w:bookmarkEnd w:id="48"/>
      <w:r>
        <w:rPr>
          <w:b/>
          <w:u w:val="single"/>
        </w:rPr>
        <w:t>SCHEDULE 3</w:t>
      </w:r>
    </w:p>
    <w:p>
      <w:pPr>
        <w:pStyle w:val="TextBody"/>
        <w:bidi w:val="0"/>
        <w:spacing w:before="200" w:after="200"/>
        <w:jc w:val="center"/>
        <w:rPr>
          <w:b/>
          <w:u w:val="single"/>
        </w:rPr>
      </w:pPr>
      <w:r>
        <w:rPr>
          <w:b/>
          <w:u w:val="single"/>
        </w:rPr>
        <w:t>Compensation</w:t>
      </w:r>
    </w:p>
    <w:p>
      <w:pPr>
        <w:pStyle w:val="TextBody"/>
        <w:bidi w:val="0"/>
        <w:spacing w:before="200" w:after="200"/>
        <w:jc w:val="both"/>
        <w:rPr/>
      </w:pPr>
      <w:r>
        <w:rPr/>
        <w:t>The Company shall pay to the Designated Sales Agent in cash, upon each sale of Placement Shares through the Designated Sales Agent pursuant to this Agreement, an amount equal to 3.00% of the aggregate gross proceeds from each sale of Placement Shares.</w:t>
      </w: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49" w:name="page_34"/>
      <w:bookmarkEnd w:id="49"/>
      <w:r>
        <w:rPr>
          <w:b/>
          <w:u w:val="single"/>
        </w:rPr>
        <w:t>Exhibit 7(m)</w:t>
      </w:r>
    </w:p>
    <w:p>
      <w:pPr>
        <w:pStyle w:val="TextBody"/>
        <w:bidi w:val="0"/>
        <w:spacing w:before="200" w:after="200"/>
        <w:jc w:val="center"/>
        <w:rPr>
          <w:b/>
          <w:u w:val="single"/>
        </w:rPr>
      </w:pPr>
      <w:r>
        <w:rPr>
          <w:b/>
          <w:u w:val="single"/>
        </w:rPr>
        <w:t>OFFICER CERTIFICATE</w:t>
      </w:r>
    </w:p>
    <w:p>
      <w:pPr>
        <w:pStyle w:val="TextBody"/>
        <w:bidi w:val="0"/>
        <w:spacing w:before="200" w:after="200"/>
        <w:ind w:left="0" w:right="0" w:firstLine="720"/>
        <w:jc w:val="both"/>
        <w:rPr/>
      </w:pPr>
      <w:r>
        <w:rPr>
          <w:i/>
        </w:rPr>
        <w:t>The undersigned, the duly qualified and appointed _____________________ of Sphere 3D Corp., a corporation amalgamated under the Business Corporations Act (Ontario) (the "</w:t>
      </w:r>
      <w:r>
        <w:rPr>
          <w:b/>
          <w:i/>
          <w:u w:val="single"/>
        </w:rPr>
        <w:t>Company</w:t>
      </w:r>
      <w:r>
        <w:rPr>
          <w:i/>
        </w:rPr>
        <w:t xml:space="preserve">"), does hereby certify in such capacity and on behalf of the Company, pursuant to </w:t>
      </w:r>
      <w:r>
        <w:rPr>
          <w:i/>
          <w:u w:val="single"/>
        </w:rPr>
        <w:t>Section 7(m)</w:t>
      </w:r>
      <w:r>
        <w:rPr/>
        <w:t xml:space="preserve"> </w:t>
      </w:r>
      <w:r>
        <w:rPr>
          <w:i/>
        </w:rPr>
        <w:t>of the Sales Agreement, dated July 31, 2026 (the "</w:t>
      </w:r>
      <w:r>
        <w:rPr>
          <w:b/>
          <w:i/>
          <w:u w:val="single"/>
        </w:rPr>
        <w:t>Sales Agreement</w:t>
      </w:r>
      <w:r>
        <w:rPr>
          <w:i/>
        </w:rPr>
        <w:t>"), between the Company, A.G.P./Alliance Global Partners, and Maxim Group LLC that:</w:t>
      </w:r>
    </w:p>
    <w:p>
      <w:pPr>
        <w:pStyle w:val="TextBody"/>
        <w:bidi w:val="0"/>
        <w:spacing w:before="200" w:after="200"/>
        <w:ind w:left="480" w:right="0" w:hanging="480"/>
        <w:jc w:val="left"/>
        <w:rPr/>
      </w:pPr>
      <w:r>
        <w:rPr/>
        <w:t xml:space="preserve">(i) the representations and warranties of the Company in </w:t>
      </w:r>
      <w:r>
        <w:rPr>
          <w:u w:val="single"/>
        </w:rPr>
        <w:t>Section 6</w:t>
      </w:r>
      <w:r>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w:t>
      </w:r>
    </w:p>
    <w:p>
      <w:pPr>
        <w:pStyle w:val="TextBody"/>
        <w:bidi w:val="0"/>
        <w:spacing w:before="200" w:after="200"/>
        <w:ind w:left="480" w:right="0" w:hanging="480"/>
        <w:jc w:val="left"/>
        <w:rPr/>
      </w:pPr>
      <w:r>
        <w:rPr/>
        <w:t>(ii) the Company has complied with all agreements and satisfied all conditions on its part to be performed or satisfied pursuant to the Sales Agreement at or prior to the date hereof;</w:t>
      </w:r>
    </w:p>
    <w:p>
      <w:pPr>
        <w:pStyle w:val="TextBody"/>
        <w:bidi w:val="0"/>
        <w:spacing w:before="200" w:after="200"/>
        <w:ind w:left="480" w:right="0" w:hanging="480"/>
        <w:jc w:val="left"/>
        <w:rPr/>
      </w:pPr>
      <w:r>
        <w:rPr/>
        <w:t>(iii) as of the date hereof, (i) the Registration Statement does not contain any untrue statement of a material fact or omit to state a material fact required to be stated therein or necessary in order to make the statements therein not misleading, (ii) the Prospectus does not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Registration Statement or the Prospectus in order to make the statements therein not untrue or misleading for clauses (i) and (ii) above, respectively, to be true and correct;</w:t>
      </w:r>
    </w:p>
    <w:p>
      <w:pPr>
        <w:pStyle w:val="TextBody"/>
        <w:bidi w:val="0"/>
        <w:spacing w:before="200" w:after="200"/>
        <w:ind w:left="480" w:right="0" w:hanging="480"/>
        <w:jc w:val="left"/>
        <w:rPr/>
      </w:pPr>
      <w:r>
        <w:rPr/>
        <w:t>(iv) there has been no Material Adverse Change since the date as of which information is given in the Prospectus, as amended or supplemented;</w:t>
      </w:r>
    </w:p>
    <w:p>
      <w:pPr>
        <w:pStyle w:val="TextBody"/>
        <w:bidi w:val="0"/>
        <w:spacing w:before="200" w:after="200"/>
        <w:ind w:left="480" w:right="0" w:hanging="480"/>
        <w:jc w:val="left"/>
        <w:rPr/>
      </w:pPr>
      <w:r>
        <w:rPr/>
        <w:t>(v) the Company does not currently possess and will not be in possession of any material non-public information at the time of delivery of any Placement Notice and/or as long as such Placement Notice is effective; and</w:t>
      </w:r>
    </w:p>
    <w:p>
      <w:pPr>
        <w:pStyle w:val="TextBody"/>
        <w:bidi w:val="0"/>
        <w:spacing w:before="200" w:after="200"/>
        <w:ind w:left="480" w:right="0" w:hanging="480"/>
        <w:jc w:val="left"/>
        <w:rPr/>
      </w:pPr>
      <w:r>
        <w:rPr/>
        <w:t>(vi) the aggregate offering price of the Placement Shares that may be issued and sold pursuant to the Sales Agreement and the maximum number or amount of Placement Shares that may be sold pursuant to the Sales Agreement have been duly authorized by the Company's board of directors or a duly authorized committee thereof.</w:t>
      </w:r>
    </w:p>
    <w:p>
      <w:pPr>
        <w:pStyle w:val="TextBody"/>
        <w:bidi w:val="0"/>
        <w:spacing w:before="200" w:after="200"/>
        <w:jc w:val="both"/>
        <w:rPr/>
      </w:pPr>
      <w:r>
        <w:rPr/>
        <w:t>Terms used herein and not defined herein have the meanings ascribed to them in the Sales Agreement.</w:t>
      </w:r>
    </w:p>
    <w:tbl>
      <w:tblPr>
        <w:tblW w:w="1479" w:type="dxa"/>
        <w:jc w:val="left"/>
        <w:tblInd w:w="0" w:type="dxa"/>
        <w:tblLayout w:type="fixed"/>
        <w:tblCellMar>
          <w:top w:w="0" w:type="dxa"/>
          <w:left w:w="0" w:type="dxa"/>
          <w:bottom w:w="0" w:type="dxa"/>
          <w:right w:w="0" w:type="dxa"/>
        </w:tblCellMar>
      </w:tblPr>
      <w:tblGrid>
        <w:gridCol w:w="650"/>
        <w:gridCol w:w="60"/>
        <w:gridCol w:w="60"/>
        <w:gridCol w:w="543"/>
        <w:gridCol w:w="106"/>
        <w:gridCol w:w="60"/>
      </w:tblGrid>
      <w:tr>
        <w:trPr/>
        <w:tc>
          <w:tcPr>
            <w:tcW w:w="650" w:type="dxa"/>
            <w:tcBorders/>
            <w:vAlign w:val="center"/>
          </w:tcPr>
          <w:p>
            <w:pPr>
              <w:pStyle w:val="TableContents"/>
              <w:bidi w:val="0"/>
              <w:spacing w:before="0" w:after="283"/>
              <w:jc w:val="left"/>
              <w:rPr/>
            </w:pPr>
            <w:r>
              <w:rPr/>
              <w:t>Dated: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By:</w:t>
            </w:r>
          </w:p>
        </w:tc>
        <w:tc>
          <w:tcPr>
            <w:tcW w:w="106"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26674</Words>
  <Characters>139882</Characters>
  <CharactersWithSpaces>166307</CharactersWithSpaces>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