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sphere3ds8060326.htm"/>
      <w:bookmarkStart w:id="1" w:name="kssphere3ds8060326"/>
      <w:bookmarkEnd w:id="0"/>
      <w:bookmarkEnd w:id="1"/>
      <w:r>
        <w:rPr>
          <w:rFonts w:ascii="Times New Roman;Times;Serif" w:hAnsi="Times New Roman;Times;Serif"/>
          <w:b w:val="false"/>
          <w:i w:val="false"/>
          <w:caps w:val="false"/>
          <w:smallCaps w:val="false"/>
          <w:sz w:val="20"/>
        </w:rPr>
        <w:t>As filed with the Securities and Exchange Commission on June 8,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Sphere 3D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28" w:type="dxa"/>
          <w:right w:w="0" w:type="dxa"/>
        </w:tblCellMar>
      </w:tblPr>
      <w:tblGrid>
        <w:gridCol w:w="2525"/>
        <w:gridCol w:w="60"/>
        <w:gridCol w:w="1535"/>
      </w:tblGrid>
      <w:tr>
        <w:trPr/>
        <w:tc>
          <w:tcPr>
            <w:tcW w:w="2525" w:type="dxa"/>
            <w:tcBorders>
              <w:bottom w:val="single" w:sz="8" w:space="0" w:color="000000"/>
            </w:tcBorders>
            <w:vAlign w:val="center"/>
          </w:tcPr>
          <w:p>
            <w:pPr>
              <w:pStyle w:val="TableContents"/>
              <w:bidi w:val="0"/>
              <w:spacing w:before="0" w:after="283"/>
              <w:jc w:val="center"/>
              <w:rPr>
                <w:b/>
              </w:rPr>
            </w:pPr>
            <w:r>
              <w:rPr>
                <w:b/>
              </w:rPr>
              <w:t>Ontario, Canada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r>
              <w:rPr>
                <w:b/>
                <w:sz w:val="20"/>
              </w:rPr>
              <w:t>98-1220792</w:t>
            </w:r>
          </w:p>
        </w:tc>
      </w:tr>
      <w:tr>
        <w:trPr/>
        <w:tc>
          <w:tcPr>
            <w:tcW w:w="252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r>
              <w:rPr>
                <w:b/>
                <w:sz w:val="20"/>
              </w:rPr>
              <w:br/>
            </w: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243 Tresser Blvd, 17th Floor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Stamford, Connecticut 06901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Sphere 3D Corp. 2025 Performance Incentive Plan</w:t>
        <w:br/>
        <w:t>Inducement Restricted Stock Unit Award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CCS Global Solutions,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shd w:fill="FFFFFF" w:val="clear"/>
        </w:rPr>
        <w:t>500 Seventh Avenue, Office 12B101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shd w:fill="FFFFFF" w:val="clear"/>
        </w:rPr>
        <w:t>New York, NY 10018</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u w:val="single"/>
          <w:shd w:fill="FFFFFF" w:val="clear"/>
        </w:rPr>
        <w:t>(917) 566-7046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Raffael M. Fiumara,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Sami B. Ghneim,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P.A.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S.E. 2nd Avenue, Suite 4400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Miami, Florida 33131</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 579-0500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870"/>
        <w:gridCol w:w="60"/>
        <w:gridCol w:w="2900"/>
      </w:tblGrid>
      <w:tr>
        <w:trPr/>
        <w:tc>
          <w:tcPr>
            <w:tcW w:w="28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Accelerated filer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Non-accelerated filer ☑</w:t>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Emerging growth company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Smaller reporting company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being filed by Sphere 3D Corp. (the “Company” or the “Registrant”), to register for issuance 500,000 Common Shares reserved for issuance pursuant to a restricted stock unit award granted to Joel Block on June 7, 2026, effective upon the filing of this Registration Statement, to induce him to accept employment as the Chief Executive Officer of the Company (the “Inducement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Inducement Grant is generally subject to the terms and conditions of the Company’s 2025 Performance Incentive Plan, as amended (the “2025 Plan”), but is not charged to the 2025 Plan’s share reserve. As such, the Inducement Grant is part of a separate plan that has not been approved by shareholders. The Inducement Grant was granted as an inducement material to Mr. Block entering into employment with the Company in accordance with the “inducement” grant exception under Nasdaq Listing Rule 5635(c)(4). The Inducement Grant is unvested and unsettled as of the date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10(a)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required in Part I of this registration statement have been or will be sent or given to participating employees as specified in Rule 428(b)(1) under the Securities Act of 1933, as amended (the “Securities Act”) in accordance with the rules and regulations of the United States Securities and Exchange Commission (the “Commission”). Such documents are not being filed with the Commission either as part of this registration statement or as prospectuses or prospectus supplements pursuant to Rule 424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40"/>
        <w:gridCol w:w="5150"/>
      </w:tblGrid>
      <w:tr>
        <w:trPr/>
        <w:tc>
          <w:tcPr>
            <w:tcW w:w="740" w:type="dxa"/>
            <w:tcBorders/>
            <w:vAlign w:val="center"/>
          </w:tcPr>
          <w:p>
            <w:pPr>
              <w:pStyle w:val="TableContents"/>
              <w:bidi w:val="0"/>
              <w:spacing w:before="0" w:after="283"/>
              <w:jc w:val="left"/>
              <w:rPr>
                <w:b/>
              </w:rPr>
            </w:pPr>
            <w:r>
              <w:rPr>
                <w:b/>
              </w:rPr>
              <w:t>Item 3.</w:t>
            </w:r>
          </w:p>
        </w:tc>
        <w:tc>
          <w:tcPr>
            <w:tcW w:w="5150" w:type="dxa"/>
            <w:tcBorders/>
            <w:vAlign w:val="center"/>
          </w:tcPr>
          <w:p>
            <w:pPr>
              <w:pStyle w:val="TableContents"/>
              <w:bidi w:val="0"/>
              <w:spacing w:before="0" w:after="283"/>
              <w:jc w:val="both"/>
              <w:rPr>
                <w:b/>
              </w:rPr>
            </w:pPr>
            <w:r>
              <w:rPr>
                <w:b/>
              </w:rPr>
              <w:t>Incorporation of Certain Documents by Reference</w:t>
            </w:r>
          </w:p>
        </w:tc>
      </w:tr>
    </w:tbl>
    <w:p>
      <w:pPr>
        <w:pStyle w:val="TextBody"/>
        <w:bidi w:val="0"/>
        <w:spacing w:before="0" w:after="0"/>
        <w:ind w:left="1392" w:right="0" w:hanging="13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of the Company filed with the Commission are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 xml:space="preserve">The Company’s Annual Report on </w:t>
            </w:r>
            <w:hyperlink r:id="rId2">
              <w:r>
                <w:rPr>
                  <w:rStyle w:val="InternetLink"/>
                </w:rPr>
                <w:t>Form 10-K</w:t>
              </w:r>
            </w:hyperlink>
            <w:r>
              <w:rPr/>
              <w:t xml:space="preserve"> for its fiscal year ended December 31, 2025, filed with the Commission on March 27, 2026;</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 xml:space="preserve">The Company’s Quarterly Report on </w:t>
            </w:r>
            <w:hyperlink r:id="rId3">
              <w:r>
                <w:rPr>
                  <w:rStyle w:val="InternetLink"/>
                </w:rPr>
                <w:t>Form 10-Q</w:t>
              </w:r>
            </w:hyperlink>
            <w:r>
              <w:rPr/>
              <w:t xml:space="preserve"> for its fiscal quarter ended March 31, 2026 filed with the Commission on May 15, 2026;</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 xml:space="preserve">The Company’s Current Reports on Form 8-K, filed with the Commission on </w:t>
            </w:r>
            <w:hyperlink r:id="rId4">
              <w:r>
                <w:rPr>
                  <w:rStyle w:val="InternetLink"/>
                </w:rPr>
                <w:t>January 16, 2026</w:t>
              </w:r>
            </w:hyperlink>
            <w:r>
              <w:rPr/>
              <w:t xml:space="preserve">, </w:t>
            </w:r>
            <w:hyperlink r:id="rId5">
              <w:r>
                <w:rPr>
                  <w:rStyle w:val="InternetLink"/>
                </w:rPr>
                <w:t>February 12, 2026</w:t>
              </w:r>
            </w:hyperlink>
            <w:r>
              <w:rPr/>
              <w:t xml:space="preserve">, </w:t>
            </w:r>
            <w:hyperlink r:id="rId6">
              <w:r>
                <w:rPr>
                  <w:rStyle w:val="InternetLink"/>
                </w:rPr>
                <w:t>February 27, 2026</w:t>
              </w:r>
            </w:hyperlink>
            <w:r>
              <w:rPr/>
              <w:t xml:space="preserve">, </w:t>
            </w:r>
            <w:hyperlink r:id="rId7">
              <w:r>
                <w:rPr>
                  <w:rStyle w:val="InternetLink"/>
                </w:rPr>
                <w:t>March 11, 2026</w:t>
              </w:r>
            </w:hyperlink>
            <w:r>
              <w:rPr/>
              <w:t xml:space="preserve">, </w:t>
            </w:r>
            <w:hyperlink r:id="rId8">
              <w:r>
                <w:rPr>
                  <w:rStyle w:val="InternetLink"/>
                </w:rPr>
                <w:t>May 14, 2026</w:t>
              </w:r>
            </w:hyperlink>
            <w:r>
              <w:rPr/>
              <w:t xml:space="preserve">, </w:t>
            </w:r>
            <w:hyperlink r:id="rId9">
              <w:r>
                <w:rPr>
                  <w:rStyle w:val="InternetLink"/>
                </w:rPr>
                <w:t>May 21, 2026</w:t>
              </w:r>
            </w:hyperlink>
            <w:r>
              <w:rPr/>
              <w:t xml:space="preserve">, and </w:t>
            </w:r>
            <w:hyperlink r:id="rId10">
              <w:r>
                <w:rPr>
                  <w:rStyle w:val="InternetLink"/>
                </w:rPr>
                <w:t>June 3, 2026</w:t>
              </w:r>
            </w:hyperlink>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both"/>
              <w:rPr/>
            </w:pPr>
            <w:r>
              <w:rPr/>
              <w:t xml:space="preserve">The description of the Company’s Common Shares contained in </w:t>
            </w:r>
            <w:hyperlink r:id="rId11">
              <w:r>
                <w:rPr>
                  <w:rStyle w:val="InternetLink"/>
                </w:rPr>
                <w:t>Exhibit 4.1</w:t>
              </w:r>
            </w:hyperlink>
            <w:r>
              <w:rPr/>
              <w:t xml:space="preserve"> to its Annual Report on </w:t>
            </w:r>
            <w:hyperlink r:id="rId12">
              <w:r>
                <w:rPr>
                  <w:rStyle w:val="InternetLink"/>
                </w:rPr>
                <w:t>Form 10-K</w:t>
              </w:r>
            </w:hyperlink>
            <w:r>
              <w:rPr/>
              <w:t xml:space="preserve"> for its fiscal year ended December 31, 2025, filed with the Commission on March 27, 2026;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t>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information deemed to have been furnished and not filed in accordance with Commission rules shall not be deemed incorporated by reference into this Registration Statement.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center"/>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rPr>
            </w:pPr>
            <w:r>
              <w:rPr>
                <w:b/>
              </w:rPr>
              <w:t>Item 8.</w:t>
            </w:r>
          </w:p>
        </w:tc>
        <w:tc>
          <w:tcPr>
            <w:tcW w:w="875" w:type="dxa"/>
            <w:tcBorders/>
            <w:vAlign w:val="center"/>
          </w:tcPr>
          <w:p>
            <w:pPr>
              <w:pStyle w:val="TableContents"/>
              <w:bidi w:val="0"/>
              <w:spacing w:before="0" w:after="283"/>
              <w:jc w:val="both"/>
              <w:rPr>
                <w:b/>
              </w:rPr>
            </w:pPr>
            <w:r>
              <w:rPr>
                <w:b/>
              </w:rPr>
              <w:t>Exhibits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60"/>
        <w:gridCol w:w="9690"/>
      </w:tblGrid>
      <w:tr>
        <w:trPr/>
        <w:tc>
          <w:tcPr>
            <w:tcW w:w="4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w:anchor="sphere3dex5-1.htm">
              <w:r>
                <w:rPr>
                  <w:rStyle w:val="InternetLink"/>
                </w:rPr>
                <w:t>Opinion of DuMoulin Black LLP.</w:t>
              </w:r>
            </w:hyperlink>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13">
              <w:r>
                <w:rPr>
                  <w:rStyle w:val="InternetLink"/>
                </w:rPr>
                <w:t>Sphere 3D Corp. 2025 Performance Incentive Plan, as amended (incorporated by reference to Annex C to DEFM14A filed April 16, 2026).</w:t>
              </w:r>
            </w:hyperlink>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23.1</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w:anchor="sphere3dex23-1.htm">
              <w:r>
                <w:rPr>
                  <w:rStyle w:val="InternetLink"/>
                </w:rPr>
                <w:t>Consent of MaloneBailey, LLP.</w:t>
              </w:r>
            </w:hyperlink>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23.2</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w:anchor="sphere3dex23-2.htm">
              <w:r>
                <w:rPr>
                  <w:rStyle w:val="InternetLink"/>
                </w:rPr>
                <w:t>Consent of SRCO Professional Corporation.</w:t>
              </w:r>
            </w:hyperlink>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23.3</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w:anchor="sphere3dex5-1.htm">
              <w:r>
                <w:rPr>
                  <w:rStyle w:val="InternetLink"/>
                </w:rPr>
                <w:t>Consent of DuMoulin Black LLP (included in Exhibit 5.1).</w:t>
              </w:r>
            </w:hyperlink>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24</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w:anchor="a_001">
              <w:r>
                <w:rPr>
                  <w:rStyle w:val="InternetLink"/>
                </w:rPr>
                <w:t>Power of Attorney (included in this Registration Statement under “Signatures”).</w:t>
              </w:r>
            </w:hyperlink>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107</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w:anchor="sphere3dex-fee.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Form S-8 Registration Statement to be signed on its behalf by the undersigned, thereunto duly authorized, in the City of San Diego, State of California, on June 8, 2026.</w:t>
      </w:r>
    </w:p>
    <w:p>
      <w:pPr>
        <w:pStyle w:val="TextBody"/>
        <w:bidi w:val="0"/>
        <w:spacing w:before="0" w:after="0"/>
        <w:ind w:left="0" w:right="0" w:firstLine="72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365"/>
        <w:gridCol w:w="2225"/>
      </w:tblGrid>
      <w:tr>
        <w:trPr/>
        <w:tc>
          <w:tcPr>
            <w:tcW w:w="75" w:type="dxa"/>
            <w:tcBorders/>
            <w:vAlign w:val="center"/>
          </w:tcPr>
          <w:p>
            <w:pPr>
              <w:pStyle w:val="TableContents"/>
              <w:bidi w:val="0"/>
              <w:spacing w:before="0" w:after="283"/>
              <w:ind w:left="0" w:right="0" w:hanging="0"/>
              <w:jc w:val="left"/>
              <w:rPr>
                <w:sz w:val="4"/>
                <w:szCs w:val="4"/>
              </w:rPr>
            </w:pPr>
            <w:r>
              <w:rPr>
                <w:sz w:val="4"/>
                <w:szCs w:val="4"/>
              </w:rPr>
            </w:r>
          </w:p>
        </w:tc>
        <w:tc>
          <w:tcPr>
            <w:tcW w:w="2590" w:type="dxa"/>
            <w:gridSpan w:val="2"/>
            <w:tcBorders/>
            <w:vAlign w:val="center"/>
          </w:tcPr>
          <w:p>
            <w:pPr>
              <w:pStyle w:val="TableContents"/>
              <w:bidi w:val="0"/>
              <w:spacing w:before="0" w:after="283"/>
              <w:jc w:val="left"/>
              <w:rPr>
                <w:b/>
              </w:rPr>
            </w:pPr>
            <w:r>
              <w:rPr>
                <w:b/>
              </w:rPr>
              <w:t>SPHERE 3D CORP.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 Kurt Kalbfleisch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Kurt Kalbfleisch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Joel Block and Kurt Kalbfleisch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each of said attorneys-in-fact and agents, or his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below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9570" w:type="dxa"/>
        <w:jc w:val="left"/>
        <w:tblInd w:w="0" w:type="dxa"/>
        <w:tblLayout w:type="fixed"/>
        <w:tblCellMar>
          <w:top w:w="0" w:type="dxa"/>
          <w:left w:w="0" w:type="dxa"/>
          <w:bottom w:w="28" w:type="dxa"/>
          <w:right w:w="0" w:type="dxa"/>
        </w:tblCellMar>
      </w:tblPr>
      <w:tblGrid>
        <w:gridCol w:w="1880"/>
        <w:gridCol w:w="60"/>
        <w:gridCol w:w="6320"/>
        <w:gridCol w:w="60"/>
        <w:gridCol w:w="1250"/>
      </w:tblGrid>
      <w:tr>
        <w:trPr/>
        <w:tc>
          <w:tcPr>
            <w:tcW w:w="188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320" w:type="dxa"/>
            <w:tcBorders>
              <w:bottom w:val="single" w:sz="8" w:space="0" w:color="000000"/>
            </w:tcBorders>
            <w:vAlign w:val="center"/>
          </w:tcPr>
          <w:p>
            <w:pPr>
              <w:pStyle w:val="TableContents"/>
              <w:bidi w:val="0"/>
              <w:spacing w:before="0" w:after="283"/>
              <w:jc w:val="left"/>
              <w:rPr/>
            </w:pPr>
            <w:r>
              <w:rPr/>
              <w:t>Title</w:t>
            </w:r>
          </w:p>
        </w:tc>
        <w:tc>
          <w:tcPr>
            <w:tcW w:w="60" w:type="dxa"/>
            <w:tcBorders/>
            <w:tcMar>
              <w:bottom w:w="0" w:type="dxa"/>
            </w:tcMar>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Date</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Joel Block</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Chief Executive Officer (Principal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June 8, 2026</w:t>
            </w:r>
          </w:p>
        </w:tc>
      </w:tr>
      <w:tr>
        <w:trPr/>
        <w:tc>
          <w:tcPr>
            <w:tcW w:w="1880" w:type="dxa"/>
            <w:tcBorders/>
            <w:tcMar>
              <w:bottom w:w="0" w:type="dxa"/>
            </w:tcMar>
            <w:vAlign w:val="center"/>
          </w:tcPr>
          <w:p>
            <w:pPr>
              <w:pStyle w:val="TableContents"/>
              <w:bidi w:val="0"/>
              <w:spacing w:before="0" w:after="283"/>
              <w:jc w:val="left"/>
              <w:rPr/>
            </w:pPr>
            <w:r>
              <w:rPr/>
              <w:t>Joel Block</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Kurt Kalbfleisch</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Chief Financial Officer (Principal Financial Officer) and 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June 8, 2026</w:t>
            </w:r>
          </w:p>
        </w:tc>
      </w:tr>
      <w:tr>
        <w:trPr/>
        <w:tc>
          <w:tcPr>
            <w:tcW w:w="1880" w:type="dxa"/>
            <w:tcBorders/>
            <w:tcMar>
              <w:bottom w:w="0" w:type="dxa"/>
            </w:tcMar>
            <w:vAlign w:val="center"/>
          </w:tcPr>
          <w:p>
            <w:pPr>
              <w:pStyle w:val="TableContents"/>
              <w:bidi w:val="0"/>
              <w:spacing w:before="0" w:after="283"/>
              <w:jc w:val="left"/>
              <w:rPr/>
            </w:pPr>
            <w:r>
              <w:rPr/>
              <w:t>Kurt Kalbfleisch</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Tiah Reppas</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Chief Accounting Officer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June 8, 2026</w:t>
            </w:r>
          </w:p>
        </w:tc>
      </w:tr>
      <w:tr>
        <w:trPr/>
        <w:tc>
          <w:tcPr>
            <w:tcW w:w="1880" w:type="dxa"/>
            <w:tcBorders/>
            <w:tcMar>
              <w:bottom w:w="0" w:type="dxa"/>
            </w:tcMar>
            <w:vAlign w:val="center"/>
          </w:tcPr>
          <w:p>
            <w:pPr>
              <w:pStyle w:val="TableContents"/>
              <w:bidi w:val="0"/>
              <w:spacing w:before="0" w:after="283"/>
              <w:jc w:val="left"/>
              <w:rPr/>
            </w:pPr>
            <w:r>
              <w:rPr/>
              <w:t>Tiah Reppas</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Timothy Hanley</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June 8, 2026</w:t>
            </w:r>
          </w:p>
        </w:tc>
      </w:tr>
      <w:tr>
        <w:trPr/>
        <w:tc>
          <w:tcPr>
            <w:tcW w:w="1880" w:type="dxa"/>
            <w:tcBorders/>
            <w:tcMar>
              <w:bottom w:w="0" w:type="dxa"/>
            </w:tcMar>
            <w:vAlign w:val="center"/>
          </w:tcPr>
          <w:p>
            <w:pPr>
              <w:pStyle w:val="TableContents"/>
              <w:bidi w:val="0"/>
              <w:spacing w:before="0" w:after="283"/>
              <w:jc w:val="left"/>
              <w:rPr/>
            </w:pPr>
            <w:r>
              <w:rPr/>
              <w:t>Timothy Hanley</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Marcus Dent</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June 8, 2026</w:t>
            </w:r>
          </w:p>
        </w:tc>
      </w:tr>
      <w:tr>
        <w:trPr/>
        <w:tc>
          <w:tcPr>
            <w:tcW w:w="1880" w:type="dxa"/>
            <w:tcBorders/>
            <w:tcMar>
              <w:bottom w:w="0" w:type="dxa"/>
            </w:tcMar>
            <w:vAlign w:val="center"/>
          </w:tcPr>
          <w:p>
            <w:pPr>
              <w:pStyle w:val="TableContents"/>
              <w:bidi w:val="0"/>
              <w:spacing w:before="0" w:after="283"/>
              <w:jc w:val="left"/>
              <w:rPr/>
            </w:pPr>
            <w:r>
              <w:rPr/>
              <w:t>Marcus Dent</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Nicholas Gates</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June 8, 2026</w:t>
            </w:r>
          </w:p>
        </w:tc>
      </w:tr>
      <w:tr>
        <w:trPr/>
        <w:tc>
          <w:tcPr>
            <w:tcW w:w="1880" w:type="dxa"/>
            <w:tcBorders/>
            <w:tcMar>
              <w:bottom w:w="0" w:type="dxa"/>
            </w:tcMar>
            <w:vAlign w:val="center"/>
          </w:tcPr>
          <w:p>
            <w:pPr>
              <w:pStyle w:val="TableContents"/>
              <w:bidi w:val="0"/>
              <w:spacing w:before="0" w:after="283"/>
              <w:jc w:val="left"/>
              <w:rPr/>
            </w:pPr>
            <w:r>
              <w:rPr/>
              <w:t>Nicholas Gates</w:t>
            </w:r>
          </w:p>
        </w:tc>
        <w:tc>
          <w:tcPr>
            <w:tcW w:w="6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undersigned, the duly authorized representative in the United States of the Registrant, has signed this registration statement in the City of San Diego, State of California on June 8, 2026.</w:t>
      </w:r>
    </w:p>
    <w:p>
      <w:pPr>
        <w:pStyle w:val="TextBody"/>
        <w:bidi w:val="0"/>
        <w:spacing w:before="0" w:after="0"/>
        <w:ind w:left="0" w:right="0" w:firstLine="720"/>
        <w:jc w:val="both"/>
        <w:rPr>
          <w:caps w:val="false"/>
          <w:smallCaps w:val="false"/>
        </w:rPr>
      </w:pPr>
      <w:r>
        <w:rPr>
          <w:caps w:val="false"/>
          <w:smallCaps w:val="false"/>
        </w:rPr>
        <w:t> </w:t>
      </w:r>
    </w:p>
    <w:tbl>
      <w:tblPr>
        <w:tblW w:w="4594" w:type="dxa"/>
        <w:jc w:val="left"/>
        <w:tblInd w:w="0" w:type="dxa"/>
        <w:tblLayout w:type="fixed"/>
        <w:tblCellMar>
          <w:top w:w="0" w:type="dxa"/>
          <w:left w:w="0" w:type="dxa"/>
          <w:bottom w:w="0" w:type="dxa"/>
          <w:right w:w="0" w:type="dxa"/>
        </w:tblCellMar>
      </w:tblPr>
      <w:tblGrid>
        <w:gridCol w:w="75"/>
        <w:gridCol w:w="636"/>
        <w:gridCol w:w="3883"/>
      </w:tblGrid>
      <w:tr>
        <w:trPr/>
        <w:tc>
          <w:tcPr>
            <w:tcW w:w="75" w:type="dxa"/>
            <w:tcBorders/>
            <w:vAlign w:val="center"/>
          </w:tcPr>
          <w:p>
            <w:pPr>
              <w:pStyle w:val="TableContents"/>
              <w:bidi w:val="0"/>
              <w:spacing w:before="0" w:after="283"/>
              <w:ind w:left="0" w:right="0" w:hanging="0"/>
              <w:jc w:val="left"/>
              <w:rPr>
                <w:sz w:val="4"/>
                <w:szCs w:val="4"/>
              </w:rPr>
            </w:pPr>
            <w:r>
              <w:rPr>
                <w:sz w:val="4"/>
                <w:szCs w:val="4"/>
              </w:rPr>
            </w:r>
          </w:p>
        </w:tc>
        <w:tc>
          <w:tcPr>
            <w:tcW w:w="4519" w:type="dxa"/>
            <w:gridSpan w:val="2"/>
            <w:tcBorders/>
            <w:vAlign w:val="center"/>
          </w:tcPr>
          <w:p>
            <w:pPr>
              <w:pStyle w:val="TableContents"/>
              <w:bidi w:val="0"/>
              <w:spacing w:before="0" w:after="283"/>
              <w:jc w:val="left"/>
              <w:rPr>
                <w:b/>
              </w:rPr>
            </w:pPr>
            <w:r>
              <w:rPr>
                <w:b/>
              </w:rPr>
              <w:t>AUTHORIZED U.S. REPRESENTATIVE</w:t>
            </w:r>
          </w:p>
        </w:tc>
      </w:tr>
      <w:tr>
        <w:trPr/>
        <w:tc>
          <w:tcPr>
            <w:tcW w:w="7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38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By</w:t>
            </w:r>
            <w:r>
              <w:rPr>
                <w:u w:val="single"/>
              </w:rPr>
              <w:t>:</w:t>
            </w:r>
          </w:p>
        </w:tc>
        <w:tc>
          <w:tcPr>
            <w:tcW w:w="3883" w:type="dxa"/>
            <w:tcBorders>
              <w:bottom w:val="single" w:sz="8" w:space="0" w:color="000000"/>
            </w:tcBorders>
            <w:tcMar>
              <w:bottom w:w="28" w:type="dxa"/>
            </w:tcMar>
            <w:vAlign w:val="center"/>
          </w:tcPr>
          <w:p>
            <w:pPr>
              <w:pStyle w:val="TableContents"/>
              <w:bidi w:val="0"/>
              <w:spacing w:before="0" w:after="283"/>
              <w:jc w:val="left"/>
              <w:rPr/>
            </w:pPr>
            <w:r>
              <w:rPr/>
              <w:t>/s/ Kurt Kalbfleisch</w:t>
            </w:r>
          </w:p>
        </w:tc>
      </w:tr>
      <w:tr>
        <w:trPr/>
        <w:tc>
          <w:tcPr>
            <w:tcW w:w="7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3883" w:type="dxa"/>
            <w:tcBorders/>
            <w:vAlign w:val="center"/>
          </w:tcPr>
          <w:p>
            <w:pPr>
              <w:pStyle w:val="TableContents"/>
              <w:bidi w:val="0"/>
              <w:spacing w:before="0" w:after="283"/>
              <w:jc w:val="left"/>
              <w:rPr/>
            </w:pPr>
            <w:r>
              <w:rPr/>
              <w:t>Kurt Kalbfleisch</w:t>
            </w:r>
          </w:p>
        </w:tc>
      </w:tr>
      <w:tr>
        <w:trPr/>
        <w:tc>
          <w:tcPr>
            <w:tcW w:w="7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3883" w:type="dxa"/>
            <w:tcBorders/>
            <w:vAlign w:val="center"/>
          </w:tcPr>
          <w:p>
            <w:pPr>
              <w:pStyle w:val="TableContents"/>
              <w:bidi w:val="0"/>
              <w:spacing w:before="0" w:after="283"/>
              <w:jc w:val="left"/>
              <w:rPr/>
            </w:pPr>
            <w:r>
              <w:rPr/>
              <w:t>Chief Financial Officer</w:t>
            </w:r>
          </w:p>
        </w:tc>
      </w:tr>
    </w:tbl>
    <w:p>
      <w:pPr>
        <w:pStyle w:val="TextBody"/>
        <w:bidi w:val="0"/>
        <w:spacing w:before="0" w:after="0"/>
        <w:ind w:left="4766" w:right="0" w:hanging="0"/>
        <w:jc w:val="both"/>
        <w:rPr>
          <w:caps w:val="false"/>
          <w:smallCaps w:val="false"/>
        </w:rPr>
      </w:pPr>
      <w:r>
        <w:rPr>
          <w:caps w:val="false"/>
          <w:smallCaps w:val="false"/>
        </w:rPr>
        <w:t> </w:t>
      </w:r>
    </w:p>
    <w:p>
      <w:pPr>
        <w:pStyle w:val="TextBody"/>
        <w:bidi w:val="0"/>
        <w:spacing w:before="0" w:after="0"/>
        <w:ind w:left="476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4766" w:right="0" w:hanging="0"/>
        <w:jc w:val="both"/>
        <w:rPr>
          <w:caps w:val="false"/>
          <w:smallCaps w:val="false"/>
        </w:rPr>
      </w:pPr>
      <w:r>
        <w:rPr>
          <w:caps w:val="false"/>
          <w:smallCaps w:val="false"/>
        </w:rPr>
        <w:t> </w:t>
      </w:r>
    </w:p>
    <w:p>
      <w:pPr>
        <w:pStyle w:val="TextBody"/>
        <w:bidi w:val="0"/>
        <w:jc w:val="right"/>
        <w:rPr>
          <w:rFonts w:ascii="Calibri;Helvetica;Sans-Serif" w:hAnsi="Calibri;Helvetica;Sans-Serif"/>
          <w:b/>
          <w:i w:val="false"/>
          <w:caps w:val="false"/>
          <w:smallCaps w:val="false"/>
          <w:sz w:val="20"/>
        </w:rPr>
      </w:pPr>
      <w:bookmarkStart w:id="3" w:name="sphere3dex5-1.htm"/>
      <w:bookmarkStart w:id="4" w:name="kssphere3dex51"/>
      <w:bookmarkEnd w:id="3"/>
      <w:bookmarkEnd w:id="4"/>
      <w:r>
        <w:rPr>
          <w:rFonts w:ascii="Calibri;Helvetica;Sans-Serif" w:hAnsi="Calibri;Helvetica;Sans-Serif"/>
          <w:b/>
          <w:i w:val="false"/>
          <w:caps w:val="false"/>
          <w:smallCaps w:val="false"/>
          <w:sz w:val="20"/>
        </w:rPr>
        <w:t>Exhibit 5.1</w:t>
      </w:r>
      <w:r>
        <w:br w:type="page"/>
      </w:r>
    </w:p>
    <w:p>
      <w:pPr>
        <w:pStyle w:val="TextBody"/>
        <w:bidi w:val="0"/>
        <w:jc w:val="right"/>
        <w:rPr>
          <w:caps w:val="false"/>
          <w:smallCaps w:val="false"/>
        </w:rPr>
      </w:pPr>
      <w:r>
        <w:rPr>
          <w:caps w:val="false"/>
          <w:smallCaps w:val="false"/>
        </w:rPr>
        <w:t> </w:t>
      </w:r>
    </w:p>
    <w:tbl>
      <w:tblPr>
        <w:tblW w:w="6560" w:type="dxa"/>
        <w:jc w:val="left"/>
        <w:tblInd w:w="0" w:type="dxa"/>
        <w:tblLayout w:type="fixed"/>
        <w:tblCellMar>
          <w:top w:w="0" w:type="dxa"/>
          <w:left w:w="0" w:type="dxa"/>
          <w:bottom w:w="0" w:type="dxa"/>
          <w:right w:w="0" w:type="dxa"/>
        </w:tblCellMar>
      </w:tblPr>
      <w:tblGrid>
        <w:gridCol w:w="3255"/>
        <w:gridCol w:w="60"/>
        <w:gridCol w:w="60"/>
        <w:gridCol w:w="3185"/>
      </w:tblGrid>
      <w:tr>
        <w:trPr/>
        <w:tc>
          <w:tcPr>
            <w:tcW w:w="325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0193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2019300" cy="628650"/>
                          </a:xfrm>
                          <a:prstGeom prst="rect">
                            <a:avLst/>
                          </a:prstGeom>
                        </pic:spPr>
                      </pic:pic>
                    </a:graphicData>
                  </a:graphic>
                </wp:inline>
              </w:drawing>
            </w:r>
            <w:r>
              <w:rPr>
                <w:caps w:val="false"/>
                <w:smallCaps w:val="false"/>
              </w:rPr>
              <w:t> </w:t>
            </w:r>
          </w:p>
        </w:tc>
        <w:tc>
          <w:tcPr>
            <w:tcW w:w="60"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185" w:type="dxa"/>
            <w:tcBorders/>
            <w:vAlign w:val="center"/>
          </w:tcPr>
          <w:p>
            <w:pPr>
              <w:pStyle w:val="TableContents"/>
              <w:bidi w:val="0"/>
              <w:jc w:val="right"/>
              <w:rPr>
                <w:caps w:val="false"/>
                <w:smallCaps w:val="false"/>
                <w:color w:val="595959"/>
              </w:rPr>
            </w:pPr>
            <w:r>
              <w:rPr>
                <w:caps w:val="false"/>
                <w:smallCaps w:val="false"/>
                <w:color w:val="595959"/>
              </w:rPr>
              <w:t> </w:t>
            </w:r>
          </w:p>
          <w:p>
            <w:pPr>
              <w:pStyle w:val="TableContents"/>
              <w:bidi w:val="0"/>
              <w:jc w:val="right"/>
              <w:rPr>
                <w:rFonts w:ascii="Univers;Helvetica;Sans-Serif" w:hAnsi="Univers;Helvetica;Sans-Serif"/>
                <w:b w:val="false"/>
                <w:i w:val="false"/>
                <w:caps w:val="false"/>
                <w:smallCaps w:val="false"/>
                <w:color w:val="595959"/>
                <w:sz w:val="16"/>
              </w:rPr>
            </w:pPr>
            <w:r>
              <w:rPr>
                <w:rFonts w:ascii="Univers;Helvetica;Sans-Serif" w:hAnsi="Univers;Helvetica;Sans-Serif"/>
                <w:b w:val="false"/>
                <w:i w:val="false"/>
                <w:caps w:val="false"/>
                <w:smallCaps w:val="false"/>
                <w:color w:val="595959"/>
                <w:sz w:val="16"/>
              </w:rPr>
              <w:t xml:space="preserve">DuMoulin Black </w:t>
            </w:r>
            <w:r>
              <w:rPr>
                <w:rFonts w:ascii="Univers;Helvetica;Sans-Serif" w:hAnsi="Univers;Helvetica;Sans-Serif"/>
                <w:b w:val="false"/>
                <w:i w:val="false"/>
                <w:caps/>
                <w:color w:val="595959"/>
                <w:sz w:val="16"/>
              </w:rPr>
              <w:t>LLP</w:t>
              <w:br/>
            </w:r>
            <w:r>
              <w:rPr>
                <w:rFonts w:ascii="Univers;Helvetica;Sans-Serif" w:hAnsi="Univers;Helvetica;Sans-Serif"/>
                <w:b w:val="false"/>
                <w:i w:val="false"/>
                <w:caps w:val="false"/>
                <w:smallCaps w:val="false"/>
                <w:color w:val="595959"/>
                <w:sz w:val="16"/>
              </w:rPr>
              <w:t>15</w:t>
            </w:r>
            <w:r>
              <w:rPr>
                <w:rFonts w:ascii="Univers;Helvetica;Sans-Serif" w:hAnsi="Univers;Helvetica;Sans-Serif"/>
                <w:b w:val="false"/>
                <w:i w:val="false"/>
                <w:caps w:val="false"/>
                <w:smallCaps w:val="false"/>
                <w:color w:val="595959"/>
                <w:position w:val="5"/>
                <w:sz w:val="13"/>
                <w:sz w:val="16"/>
              </w:rPr>
              <w:t>TH</w:t>
            </w:r>
            <w:r>
              <w:rPr>
                <w:rFonts w:ascii="Univers;Helvetica;Sans-Serif" w:hAnsi="Univers;Helvetica;Sans-Serif"/>
                <w:b w:val="false"/>
                <w:i w:val="false"/>
                <w:caps w:val="false"/>
                <w:smallCaps w:val="false"/>
                <w:color w:val="595959"/>
                <w:sz w:val="16"/>
              </w:rPr>
              <w:t xml:space="preserve"> Floor, 1111 West Hastings Street</w:t>
              <w:br/>
              <w:t xml:space="preserve">Vancouver </w:t>
            </w:r>
            <w:r>
              <w:rPr>
                <w:rFonts w:ascii="Univers;Helvetica;Sans-Serif" w:hAnsi="Univers;Helvetica;Sans-Serif"/>
                <w:b w:val="false"/>
                <w:i w:val="false"/>
                <w:caps/>
                <w:color w:val="595959"/>
                <w:sz w:val="16"/>
              </w:rPr>
              <w:t xml:space="preserve">BC </w:t>
            </w:r>
            <w:r>
              <w:rPr>
                <w:rFonts w:ascii="Univers;Helvetica;Sans-Serif" w:hAnsi="Univers;Helvetica;Sans-Serif"/>
                <w:b w:val="false"/>
                <w:i w:val="false"/>
                <w:caps w:val="false"/>
                <w:smallCaps w:val="false"/>
                <w:color w:val="595959"/>
                <w:sz w:val="16"/>
              </w:rPr>
              <w:t xml:space="preserve">Canada </w:t>
            </w:r>
            <w:r>
              <w:rPr>
                <w:rFonts w:ascii="Univers;Helvetica;Sans-Serif" w:hAnsi="Univers;Helvetica;Sans-Serif"/>
                <w:b w:val="false"/>
                <w:i w:val="false"/>
                <w:caps/>
                <w:color w:val="595959"/>
                <w:sz w:val="16"/>
              </w:rPr>
              <w:t>V6E 2J3</w:t>
            </w:r>
          </w:p>
          <w:p>
            <w:pPr>
              <w:pStyle w:val="TableContents"/>
              <w:bidi w:val="0"/>
              <w:jc w:val="right"/>
              <w:rPr>
                <w:rFonts w:ascii="Univers;Helvetica;Sans-Serif" w:hAnsi="Univers;Helvetica;Sans-Serif"/>
                <w:b w:val="false"/>
                <w:i w:val="false"/>
                <w:caps w:val="false"/>
                <w:smallCaps w:val="false"/>
                <w:color w:val="595959"/>
                <w:sz w:val="16"/>
              </w:rPr>
            </w:pPr>
            <w:r>
              <w:rPr>
                <w:rFonts w:ascii="Univers;Helvetica;Sans-Serif" w:hAnsi="Univers;Helvetica;Sans-Serif"/>
                <w:b w:val="false"/>
                <w:i w:val="false"/>
                <w:caps w:val="false"/>
                <w:smallCaps w:val="false"/>
                <w:color w:val="595959"/>
                <w:sz w:val="16"/>
              </w:rPr>
              <w:t>www.dumoulinblack.com</w:t>
            </w:r>
          </w:p>
          <w:p>
            <w:pPr>
              <w:pStyle w:val="TableContents"/>
              <w:bidi w:val="0"/>
              <w:spacing w:before="0" w:after="283"/>
              <w:jc w:val="right"/>
              <w:rPr>
                <w:rFonts w:ascii="Univers;Helvetica;Sans-Serif" w:hAnsi="Univers;Helvetica;Sans-Serif"/>
                <w:b w:val="false"/>
                <w:i w:val="false"/>
                <w:caps w:val="false"/>
                <w:smallCaps w:val="false"/>
                <w:color w:val="595959"/>
                <w:sz w:val="16"/>
              </w:rPr>
            </w:pPr>
            <w:r>
              <w:rPr>
                <w:rFonts w:ascii="Univers;Helvetica;Sans-Serif" w:hAnsi="Univers;Helvetica;Sans-Serif"/>
                <w:b w:val="false"/>
                <w:i w:val="false"/>
                <w:caps w:val="false"/>
                <w:smallCaps w:val="false"/>
                <w:color w:val="595959"/>
                <w:sz w:val="16"/>
              </w:rPr>
              <w:br/>
              <w:t>Telephone No.</w:t>
              <w:tab/>
              <w:t>(604) 687-1224</w:t>
            </w:r>
          </w:p>
        </w:tc>
      </w:tr>
    </w:tbl>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6451-001</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8,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3D Corp.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 Tresser Blvd, 17th Floor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 06901</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526"/>
        <w:gridCol w:w="9614"/>
      </w:tblGrid>
      <w:tr>
        <w:trPr/>
        <w:tc>
          <w:tcPr>
            <w:tcW w:w="6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96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Sphere 3D Corp. (the "Company") - Form S-8 Registration Statement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local counsel in the Province of Ontario to the Company. We understand that the Company has prepared a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under the United States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The Registration Statement relates to the issuance by the Company of up to 500,000 common shares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issuable upon the settlement of outstanding restricted share units of the Company (“</w:t>
      </w:r>
      <w:r>
        <w:rPr>
          <w:rFonts w:ascii="Times New Roman;Times;Serif" w:hAnsi="Times New Roman;Times;Serif"/>
          <w:b/>
          <w:i w:val="false"/>
          <w:caps w:val="false"/>
          <w:smallCaps w:val="false"/>
          <w:sz w:val="20"/>
        </w:rPr>
        <w:t>Restricted Share Units</w:t>
      </w:r>
      <w:r>
        <w:rPr>
          <w:rFonts w:ascii="Times New Roman;Times;Serif" w:hAnsi="Times New Roman;Times;Serif"/>
          <w:b w:val="false"/>
          <w:i w:val="false"/>
          <w:caps w:val="false"/>
          <w:smallCaps w:val="false"/>
          <w:sz w:val="20"/>
        </w:rPr>
        <w:t>”), as more fully described in the Registration Statement. All capitalized terms not defined herein shall have the meanings ascribed thereto in the Registration Statement. The Restricted Share Units shall be subject to the terms and conditions of the Company’s 2025 Performance Incentive Plan, as amended (the “</w:t>
      </w:r>
      <w:r>
        <w:rPr>
          <w:rFonts w:ascii="Times New Roman;Times;Serif" w:hAnsi="Times New Roman;Times;Serif"/>
          <w:b/>
          <w:i w:val="false"/>
          <w:caps w:val="false"/>
          <w:smallCaps w:val="false"/>
          <w:sz w:val="20"/>
        </w:rPr>
        <w:t>Equity Plan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our opinion, we have examined originals, or copies certified or otherwise identified to our satisfaction, of:</w:t>
      </w:r>
    </w:p>
    <w:p>
      <w:pPr>
        <w:pStyle w:val="TextBody"/>
        <w:shd w:fill="FFFFFF" w:val="clear"/>
        <w:bidi w:val="0"/>
        <w:ind w:left="720" w:right="0" w:hanging="63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certificate of an officer of the Company dated the date hereof (the “</w:t>
            </w:r>
            <w:r>
              <w:rPr>
                <w:rFonts w:ascii="Times New Roman;Times;Serif" w:hAnsi="Times New Roman;Times;Serif"/>
                <w:b/>
                <w:sz w:val="20"/>
              </w:rPr>
              <w:t>Officer’s Certificate</w:t>
            </w:r>
            <w:r>
              <w:rPr>
                <w:rFonts w:ascii="Times New Roman;Times;Serif" w:hAnsi="Times New Roman;Times;Serif"/>
                <w:sz w:val="20"/>
              </w:rPr>
              <w:t>”);</w:t>
            </w:r>
          </w:p>
        </w:tc>
      </w:tr>
    </w:tbl>
    <w:p>
      <w:pPr>
        <w:pStyle w:val="TextBody"/>
        <w:shd w:fill="FFFFFF" w:val="clear"/>
        <w:bidi w:val="0"/>
        <w:ind w:left="720" w:right="0" w:hanging="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Statement (excluding the documents incorporated by reference under Part II, Item 3 of the Registration Statement);</w:t>
            </w:r>
          </w:p>
        </w:tc>
      </w:tr>
    </w:tbl>
    <w:p>
      <w:pPr>
        <w:pStyle w:val="TextBody"/>
        <w:shd w:fill="FFFFFF" w:val="clear"/>
        <w:bidi w:val="0"/>
        <w:ind w:left="720" w:right="0" w:hanging="63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certified copy of resolutions of the board of directors of the Company dated the date hereof;</w:t>
            </w:r>
          </w:p>
        </w:tc>
      </w:tr>
    </w:tbl>
    <w:p>
      <w:pPr>
        <w:pStyle w:val="TextBody"/>
        <w:shd w:fill="FFFFFF" w:val="clear"/>
        <w:bidi w:val="0"/>
        <w:ind w:left="720" w:right="0" w:hanging="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and articles of amendment of the Company and the by-laws of the Company (collectively, the "</w:t>
            </w:r>
            <w:r>
              <w:rPr>
                <w:rFonts w:ascii="Times New Roman;Times;Serif" w:hAnsi="Times New Roman;Times;Serif"/>
                <w:b/>
                <w:sz w:val="20"/>
              </w:rPr>
              <w:t>Constating Documents</w:t>
            </w:r>
            <w:r>
              <w:rPr>
                <w:rFonts w:ascii="Times New Roman;Times;Serif" w:hAnsi="Times New Roman;Times;Serif"/>
                <w:sz w:val="20"/>
              </w:rPr>
              <w:t>"); and</w:t>
            </w:r>
          </w:p>
        </w:tc>
      </w:tr>
    </w:tbl>
    <w:p>
      <w:pPr>
        <w:pStyle w:val="TextBody"/>
        <w:shd w:fill="FFFFFF" w:val="clear"/>
        <w:bidi w:val="0"/>
        <w:ind w:left="720" w:right="0" w:hanging="630"/>
        <w:jc w:val="both"/>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17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 Plan.</w:t>
            </w:r>
          </w:p>
        </w:tc>
      </w:tr>
    </w:tbl>
    <w:p>
      <w:pPr>
        <w:pStyle w:val="TextBody"/>
        <w:shd w:fill="FFFFFF" w:val="clear"/>
        <w:bidi w:val="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opinion refers to shares of the Company, whether issued or to be issued, as being “</w:t>
      </w:r>
      <w:r>
        <w:rPr>
          <w:rFonts w:ascii="Times New Roman;Times;Serif" w:hAnsi="Times New Roman;Times;Serif"/>
          <w:b/>
          <w:i w:val="false"/>
          <w:caps w:val="false"/>
          <w:smallCaps w:val="false"/>
          <w:sz w:val="20"/>
        </w:rPr>
        <w:t>fully paid and non-assessable</w:t>
      </w:r>
      <w:r>
        <w:rPr>
          <w:rFonts w:ascii="Times New Roman;Times;Serif" w:hAnsi="Times New Roman;Times;Serif"/>
          <w:b w:val="false"/>
          <w:i w:val="false"/>
          <w:caps w:val="false"/>
          <w:smallCaps w:val="false"/>
          <w:sz w:val="20"/>
        </w:rPr>
        <w:t>”, such opinion indicates that the holder of such shares will not be liable to contribute any further amounts to the Company by virtue of its status as a holder of such shares, either in order to complete payment for the shares or to generally satisfy claims of creditors of the Company. No opinion is expressed as to actual receipt by the Company of the consideration for the issuance of such shares or as to the adequacy of any consideration received.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our opinion below, we have relied solely on the Officer’s Certificate in respect of certain factual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subject to the following exceptions, qualifications and assumptions:</w:t>
      </w:r>
    </w:p>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assumed the genuineness of all signatures, the legal capacity at all relevant times of any individual signing such documents, the authenticity and completeness of all documents submitted to us as originals, the conformity to authentic original documents of all documents submitted to us as certified or photostatic copies or facsimiles (including scanned copies provided by email), and the authenticity of the originals of such certified or photostatic copies or facsimiles and the truth and accuracy of all corporate records of the Company and certificates of officers provided to us by the Company;</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assumed that, at all relevant times, the Constating Documents, the resolutions of the board of directors of the Company upon which we have relied and the Equity Plan have not been or will not be varied, amended or revoked in any respect; and</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assumed that, at the time of issuance of any Shares, there shall be a sufficient number of Shares available for issuance under the authorized share capital of the Company.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qualified to practice law in the United States of America. We are solicitors qualified to practice law in the Province of Ontario only and we express no opinion as to the laws of any jurisdiction, or as to any matters governed by the laws of any jurisdiction, other than the laws of the Province of Ontario and the laws of Canada applicable therein. Our opinion herein is based on the laws of the Province of Ontario and the laws of Canada applicable therein (and the interpretation thereof) as such laws are in effect and are construed as of the date hereof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Our opinion herein does not take into account any proposed rules or legislative changes that may come into force following the Effective Date and we disclaim any obligation or undertaking to update our opinion or advise any person of any change in law or fact that may come to our attention after the Effective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and relying upon the foregoing, we are of the opinion that as at the date hereof, the Shares issuable upon the settlement of the Restricted Share Units outstanding, when issued in accordance with the Equity Plan and any applicable share unit award agreement, consideration in full having been received by the Company on satisfaction of such Restricted Share Units through an issuance from treasury in accordance with the Equity Plan, all other conditions, as required by the Equity Plan and any applicable share unit award agreement, having been satisfied, and with the passing of all necessary corporate resolutions, such Shares will be validly issued as fully paid and non-assessable common shares in the capital of the Company.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opinion is rendered solely in connection with the transactions described above and may not be used, circulated, quoted from or otherwise referred to for any other purpose without our prior written consent. Further, the above opinion is limited to the matters stated herein, and no opinion or belief is implied or should be inferred beyond the matters expressly stated herein. For greater certainty, we express no opinion as to matters of tax or as to the contents of, or the disclosure in, the Registration Statement, or whether the Registration Statement provides full, true and plain disclosure of all material facts relating to the Company within the meaning of applicable securities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United States Securities and Exchange Commission thereunder.</w:t>
      </w:r>
    </w:p>
    <w:p>
      <w:pPr>
        <w:pStyle w:val="TextBody"/>
        <w:bidi w:val="0"/>
        <w:jc w:val="left"/>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405"/>
        <w:gridCol w:w="75"/>
      </w:tblGrid>
      <w:tr>
        <w:trPr/>
        <w:tc>
          <w:tcPr>
            <w:tcW w:w="2405" w:type="dxa"/>
            <w:tcBorders/>
            <w:vAlign w:val="center"/>
          </w:tcPr>
          <w:p>
            <w:pPr>
              <w:pStyle w:val="TableContents"/>
              <w:bidi w:val="0"/>
              <w:spacing w:before="0" w:after="283"/>
              <w:jc w:val="left"/>
              <w:rPr/>
            </w:pPr>
            <w:r>
              <w:rPr/>
              <w:t>Yours truly,</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05" w:type="dxa"/>
            <w:tcBorders>
              <w:bottom w:val="single" w:sz="8" w:space="0" w:color="000000"/>
            </w:tcBorders>
            <w:tcMar>
              <w:bottom w:w="28" w:type="dxa"/>
            </w:tcMar>
            <w:vAlign w:val="center"/>
          </w:tcPr>
          <w:p>
            <w:pPr>
              <w:pStyle w:val="TableContents"/>
              <w:bidi w:val="0"/>
              <w:spacing w:before="0" w:after="283"/>
              <w:jc w:val="left"/>
              <w:rPr/>
            </w:pPr>
            <w:r>
              <w:rPr/>
              <w:t>/s/ DuMoulin Black LLP</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DuMoulin Black LLP</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b/>
        </w:rPr>
      </w:pPr>
      <w:bookmarkStart w:id="5" w:name="sphere3dex23-1.htm"/>
      <w:bookmarkStart w:id="6" w:name="kssphere3dex231"/>
      <w:bookmarkEnd w:id="5"/>
      <w:bookmarkEnd w:id="6"/>
      <w:r>
        <w:rPr>
          <w:b/>
        </w:rPr>
        <w:t>Exhibit 23.1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March 27, 2026 with respect to the audited consolidated financial statements of Sphere 3D Corp. and its subsidiaries (collectively, the “Company”) appearing in the Company’s Annual Report on Form 10-K for the year ended December 31, 2025. Our report contains an explanatory paragraph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7" w:name="sphere3dex23-2.htm"/>
      <w:bookmarkStart w:id="8" w:name="kssphere3dex232"/>
      <w:bookmarkEnd w:id="7"/>
      <w:bookmarkEnd w:id="8"/>
      <w:r>
        <w:rPr>
          <w:rFonts w:ascii="Times New Roman;Times;Serif" w:hAnsi="Times New Roman;Times;Serif"/>
          <w:b/>
          <w:i w:val="false"/>
          <w:caps w:val="false"/>
          <w:smallCaps w:val="false"/>
          <w:sz w:val="20"/>
        </w:rPr>
        <w:t>Exhibit 23.2</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Statements on Form S-8 of Sphere 3D Corp. of our report dated March 24, 2026 relating to the financial statements of Cathedra Bitcoin Inc. and its subsidiaries, which appears in the Current Report on Form 8-K of Sphere 3D Corp. filed with the Securities and Exchange Commission on June 3, 2026.</w:t>
      </w:r>
    </w:p>
    <w:p>
      <w:pPr>
        <w:pStyle w:val="TextBody"/>
        <w:bidi w:val="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4115"/>
        <w:gridCol w:w="75"/>
      </w:tblGrid>
      <w:tr>
        <w:trPr/>
        <w:tc>
          <w:tcPr>
            <w:tcW w:w="41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SRCO Professional Corporation</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to practice public accounting by the</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of Ontario</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Richmond Hill, Ontario, Canada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8,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9" w:name="sphere3dex-fee.htm"/>
      <w:bookmarkStart w:id="10" w:name="kssphere3d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Sphere 3D Corp.</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6"/>
        <w:gridCol w:w="60"/>
        <w:gridCol w:w="1051"/>
        <w:gridCol w:w="60"/>
        <w:gridCol w:w="575"/>
        <w:gridCol w:w="60"/>
        <w:gridCol w:w="1129"/>
        <w:gridCol w:w="60"/>
        <w:gridCol w:w="1087"/>
        <w:gridCol w:w="60"/>
        <w:gridCol w:w="191"/>
        <w:gridCol w:w="937"/>
        <w:gridCol w:w="60"/>
        <w:gridCol w:w="154"/>
        <w:gridCol w:w="1415"/>
        <w:gridCol w:w="60"/>
        <w:gridCol w:w="1040"/>
        <w:gridCol w:w="60"/>
        <w:gridCol w:w="215"/>
        <w:gridCol w:w="1075"/>
      </w:tblGrid>
      <w:tr>
        <w:trPr/>
        <w:tc>
          <w:tcPr>
            <w:tcW w:w="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856"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51"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9"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87"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69"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85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Common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3.8450</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1,922,500.00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283"/>
              <w:jc w:val="right"/>
              <w:rPr/>
            </w:pPr>
            <w:r>
              <w:rPr/>
              <w:t>265.50</w:t>
            </w:r>
          </w:p>
        </w:tc>
      </w:tr>
      <w:tr>
        <w:trPr/>
        <w:tc>
          <w:tcPr>
            <w:tcW w:w="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26"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right"/>
              <w:rPr/>
            </w:pPr>
            <w:r>
              <w:rPr/>
              <w:t>1,922,500.00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265.50</w:t>
            </w:r>
          </w:p>
        </w:tc>
      </w:tr>
      <w:tr>
        <w:trPr/>
        <w:tc>
          <w:tcPr>
            <w:tcW w:w="6126"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26"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double" w:sz="8" w:space="0" w:color="000000"/>
            </w:tcBorders>
            <w:tcMar>
              <w:bottom w:w="28" w:type="dxa"/>
            </w:tcMar>
            <w:vAlign w:val="center"/>
          </w:tcPr>
          <w:p>
            <w:pPr>
              <w:pStyle w:val="TableContents"/>
              <w:bidi w:val="0"/>
              <w:spacing w:before="0" w:after="283"/>
              <w:jc w:val="left"/>
              <w:rPr/>
            </w:pPr>
            <w:r>
              <w:rPr/>
              <w:t>$</w:t>
            </w:r>
          </w:p>
        </w:tc>
        <w:tc>
          <w:tcPr>
            <w:tcW w:w="1075" w:type="dxa"/>
            <w:tcBorders>
              <w:bottom w:val="double" w:sz="8" w:space="0" w:color="000000"/>
            </w:tcBorders>
            <w:tcMar>
              <w:bottom w:w="28" w:type="dxa"/>
            </w:tcMar>
            <w:vAlign w:val="center"/>
          </w:tcPr>
          <w:p>
            <w:pPr>
              <w:pStyle w:val="TableContents"/>
              <w:bidi w:val="0"/>
              <w:spacing w:before="0" w:after="283"/>
              <w:jc w:val="right"/>
              <w:rPr/>
            </w:pPr>
            <w:r>
              <w:rPr/>
              <w:t>265.50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In accordance with Rule 416 under the Securities Act of 1933, as amended, this Registration Statement covers, in addition to the number of common shares, no par value per share (the "Common Shares") of Sphere 3D Corp., a corporation amalgamated under the laws of the Province of Ontario (the "Company" or the "Registrant"), stated above, options and other rights to purchase or acquire the Common Shares covered by this Registration Statement and, pursuant to Rule 416 under the Securities Act of 1933, as amended (the "Securities Act"), an additional indeterminate number of shares, options and rights that may be offered or issued pursuant to the Sphere 3D Corp. 2025 Performance Incentive Plan, as amended (the "Plan") as a result of one or more adjustments under the Plan to prevent dilution resulting from one or more stock splits, stock dividends or similar transactions.</w:t>
              <w:br/>
              <w:br/>
              <w:t>Estimated solely for the purpose of calculating the registration fee in accordance with Rule 457(h) and 457(c) under the Securities Act, based upon the average of the high and low prices of the Common Shares on June 1, 2026 (which is within five business days prior to the date of this filing), as quoted on the Nasdaq Capital Market.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Univers">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91956/000159195626000004/any-20251231.htm" TargetMode="External"/><Relationship Id="rId3" Type="http://schemas.openxmlformats.org/officeDocument/2006/relationships/hyperlink" Target="http://www.sec.gov/Archives/edgar/data/1591956/000159195626000011/any-20260331.htm" TargetMode="External"/><Relationship Id="rId4" Type="http://schemas.openxmlformats.org/officeDocument/2006/relationships/hyperlink" Target="http://www.sec.gov/Archives/edgar/data/1591956/000106299326000316/form8k.htm" TargetMode="External"/><Relationship Id="rId5" Type="http://schemas.openxmlformats.org/officeDocument/2006/relationships/hyperlink" Target="http://www.sec.gov/Archives/edgar/data/1591956/000106299326000850/form8k.htm" TargetMode="External"/><Relationship Id="rId6" Type="http://schemas.openxmlformats.org/officeDocument/2006/relationships/hyperlink" Target="http://www.sec.gov/Archives/edgar/data/1591956/000106299326001199/form8k.htm" TargetMode="External"/><Relationship Id="rId7" Type="http://schemas.openxmlformats.org/officeDocument/2006/relationships/hyperlink" Target="http://www.sec.gov/Archives/edgar/data/1591956/000106299326001384/form8k.htm" TargetMode="External"/><Relationship Id="rId8" Type="http://schemas.openxmlformats.org/officeDocument/2006/relationships/hyperlink" Target="http://www.sec.gov/Archives/edgar/data/1591956/000106299326002631/form8k.htm" TargetMode="External"/><Relationship Id="rId9" Type="http://schemas.openxmlformats.org/officeDocument/2006/relationships/hyperlink" Target="http://www.sec.gov/Archives/edgar/data/1591956/000106299326002824/form8k.htm" TargetMode="External"/><Relationship Id="rId10" Type="http://schemas.openxmlformats.org/officeDocument/2006/relationships/hyperlink" Target="https://www.sec.gov/Archives/edgar/data/1591956/000106299326003037/form8k.htm" TargetMode="External"/><Relationship Id="rId11" Type="http://schemas.openxmlformats.org/officeDocument/2006/relationships/hyperlink" Target="http://www.sec.gov/Archives/edgar/data/1591956/000159195626000004/exhibit41123125.htm" TargetMode="External"/><Relationship Id="rId12" Type="http://schemas.openxmlformats.org/officeDocument/2006/relationships/hyperlink" Target="http://www.sec.gov/Archives/edgar/data/1591956/000159195626000004/any-20251231.htm" TargetMode="External"/><Relationship Id="rId13" Type="http://schemas.openxmlformats.org/officeDocument/2006/relationships/hyperlink" Target="http://www.sec.gov/Archives/edgar/data/1591956/000118518526001404/sphere3ddefm14a040226.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2895</Words>
  <Characters>15342</Characters>
  <CharactersWithSpaces>18368</CharactersWithSpaces>
  <Paragraphs>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