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83"/>
        <w:ind w:left="0" w:right="0" w:firstLine="54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center"/>
        <w:rPr>
          <w:rFonts w:ascii="Times New Roman;serif" w:hAnsi="Times New Roman;serif"/>
          <w:b/>
          <w:color w:val="000000"/>
          <w:sz w:val="22"/>
        </w:rPr>
      </w:pPr>
      <w:r>
        <w:rPr>
          <w:rFonts w:ascii="Times New Roman;serif" w:hAnsi="Times New Roman;serif"/>
          <w:b/>
          <w:color w:val="000000"/>
          <w:sz w:val="22"/>
        </w:rPr>
        <w:t>UNITED STATES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SECURITIES AND EXCHANGE COMMISSION</w:t>
      </w:r>
    </w:p>
    <w:p>
      <w:pPr>
        <w:pStyle w:val="TextBody"/>
        <w:bidi w:val="0"/>
        <w:spacing w:lineRule="auto" w:line="288" w:before="60" w:after="283"/>
        <w:jc w:val="center"/>
        <w:rPr>
          <w:rFonts w:ascii="Times New Roman;serif" w:hAnsi="Times New Roman;serif"/>
          <w:b w:val="false"/>
          <w:color w:val="000000"/>
          <w:sz w:val="22"/>
        </w:rPr>
      </w:pPr>
      <w:r>
        <w:rPr>
          <w:rFonts w:ascii="Times New Roman;serif" w:hAnsi="Times New Roman;serif"/>
          <w:b w:val="false"/>
          <w:color w:val="000000"/>
          <w:sz w:val="22"/>
        </w:rPr>
        <w:t>Washington, D.C. 20549</w:t>
      </w:r>
    </w:p>
    <w:p>
      <w:pPr>
        <w:pStyle w:val="TextBody"/>
        <w:bidi w:val="0"/>
        <w:spacing w:lineRule="auto" w:line="288" w:before="60" w:after="283"/>
        <w:jc w:val="center"/>
        <w:rPr>
          <w:rFonts w:ascii="Times New Roman;serif" w:hAnsi="Times New Roman;serif"/>
          <w:b/>
          <w:color w:val="000000"/>
          <w:sz w:val="24"/>
        </w:rPr>
      </w:pPr>
      <w:r>
        <w:rPr>
          <w:rFonts w:ascii="Times New Roman;serif" w:hAnsi="Times New Roman;serif"/>
          <w:b/>
          <w:color w:val="000000"/>
          <w:sz w:val="24"/>
        </w:rPr>
        <w:t>FORM 10-Q</w:t>
      </w:r>
    </w:p>
    <w:p>
      <w:pPr>
        <w:pStyle w:val="TextBody"/>
        <w:bidi w:val="0"/>
        <w:spacing w:lineRule="auto" w:line="288" w:before="120" w:after="283"/>
        <w:ind w:left="0" w:right="0" w:firstLine="540"/>
        <w:jc w:val="left"/>
        <w:rPr/>
      </w:pPr>
      <w:r>
        <w:rPr>
          <w:color w:val="000000"/>
        </w:rPr>
        <w:t xml:space="preserve">☒ </w:t>
      </w:r>
      <w:r>
        <w:rPr>
          <w:rFonts w:ascii="Times New Roman;serif" w:hAnsi="Times New Roman;serif"/>
          <w:b w:val="false"/>
          <w:color w:val="000000"/>
          <w:sz w:val="18"/>
        </w:rPr>
        <w:t>QUARTERLY REPORT PURSUANT TO SECTION 13 OR 15(d) OF THE SECURITIES EXCHANGE ACT OF 1934</w:t>
      </w:r>
    </w:p>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For the quarterly period ended March 31, 2026</w:t>
      </w:r>
    </w:p>
    <w:p>
      <w:pPr>
        <w:pStyle w:val="TextBody"/>
        <w:bidi w:val="0"/>
        <w:spacing w:lineRule="auto" w:line="288" w:before="0" w:after="0"/>
        <w:ind w:left="0" w:right="0" w:firstLine="540"/>
        <w:jc w:val="center"/>
        <w:rPr/>
      </w:pPr>
      <w:r>
        <w:rPr>
          <w:rFonts w:ascii="Times New Roman;serif" w:hAnsi="Times New Roman;serif"/>
          <w:b w:val="false"/>
          <w:color w:val="000000"/>
          <w:sz w:val="20"/>
        </w:rPr>
        <w:t>or</w:t>
      </w:r>
      <w:r>
        <w:rPr>
          <w:color w:val="000000"/>
        </w:rPr>
        <w:t>            </w:t>
      </w:r>
    </w:p>
    <w:p>
      <w:pPr>
        <w:pStyle w:val="TextBody"/>
        <w:bidi w:val="0"/>
        <w:spacing w:lineRule="auto" w:line="288" w:before="0" w:after="0"/>
        <w:ind w:left="0" w:right="0" w:firstLine="540"/>
        <w:jc w:val="left"/>
        <w:rPr/>
      </w:pPr>
      <w:r>
        <w:rPr>
          <w:color w:val="000000"/>
        </w:rPr>
        <w:t xml:space="preserve">☐ </w:t>
      </w:r>
      <w:r>
        <w:rPr>
          <w:rFonts w:ascii="Times New Roman;serif" w:hAnsi="Times New Roman;serif"/>
          <w:b w:val="false"/>
          <w:color w:val="000000"/>
          <w:sz w:val="18"/>
        </w:rPr>
        <w:t>TRANSITION REPORT PURSUANT TO SECTION 13 OR 15(d) OF THE SECURITIES EXCHANGE ACT OF 1934</w:t>
      </w:r>
    </w:p>
    <w:p>
      <w:pPr>
        <w:pStyle w:val="TextBody"/>
        <w:bidi w:val="0"/>
        <w:spacing w:lineRule="auto" w:line="288" w:before="60" w:after="283"/>
        <w:ind w:left="0" w:right="0" w:firstLine="540"/>
        <w:jc w:val="left"/>
        <w:rPr>
          <w:rFonts w:ascii="Times New Roman;serif" w:hAnsi="Times New Roman;serif"/>
          <w:b w:val="false"/>
          <w:color w:val="000000"/>
          <w:sz w:val="18"/>
        </w:rPr>
      </w:pPr>
      <w:r>
        <w:rPr>
          <w:rFonts w:ascii="Times New Roman;serif" w:hAnsi="Times New Roman;serif"/>
          <w:b w:val="false"/>
          <w:color w:val="000000"/>
          <w:sz w:val="18"/>
        </w:rPr>
        <w:t>For the transition period from___________________________to ___________________________</w:t>
      </w:r>
    </w:p>
    <w:p>
      <w:pPr>
        <w:pStyle w:val="TextBody"/>
        <w:bidi w:val="0"/>
        <w:spacing w:lineRule="auto" w:line="288" w:before="60" w:after="283"/>
        <w:jc w:val="center"/>
        <w:rPr/>
      </w:pPr>
      <w:r>
        <w:rPr>
          <w:rFonts w:ascii="Times New Roman;serif" w:hAnsi="Times New Roman;serif"/>
          <w:b w:val="false"/>
          <w:color w:val="000000"/>
          <w:sz w:val="20"/>
        </w:rPr>
        <w:t xml:space="preserve">Commission File Number: </w:t>
      </w:r>
      <w:r>
        <w:rPr>
          <w:rFonts w:ascii="Times New Roman;serif" w:hAnsi="Times New Roman;serif"/>
          <w:b/>
          <w:color w:val="000000"/>
          <w:sz w:val="20"/>
        </w:rPr>
        <w:t>001-36532</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__________________________________</w:t>
      </w:r>
    </w:p>
    <w:p>
      <w:pPr>
        <w:pStyle w:val="TextBody"/>
        <w:bidi w:val="0"/>
        <w:spacing w:lineRule="auto" w:line="288" w:before="60" w:after="283"/>
        <w:ind w:left="0" w:right="0" w:firstLine="540"/>
        <w:jc w:val="center"/>
        <w:rPr>
          <w:rFonts w:ascii="Times New Roman;serif" w:hAnsi="Times New Roman;serif"/>
          <w:b/>
          <w:color w:val="000000"/>
          <w:sz w:val="28"/>
        </w:rPr>
      </w:pPr>
      <w:r>
        <w:rPr>
          <w:rFonts w:ascii="Times New Roman;serif" w:hAnsi="Times New Roman;serif"/>
          <w:b/>
          <w:color w:val="000000"/>
          <w:sz w:val="28"/>
        </w:rPr>
        <w:t>Sphere 3D Corp.</w:t>
      </w:r>
    </w:p>
    <w:p>
      <w:pPr>
        <w:pStyle w:val="TextBody"/>
        <w:bidi w:val="0"/>
        <w:spacing w:lineRule="auto" w:line="288" w:before="0" w:after="0"/>
        <w:jc w:val="center"/>
        <w:rPr>
          <w:rFonts w:ascii="Times New Roman;serif" w:hAnsi="Times New Roman;serif"/>
          <w:b/>
          <w:i/>
          <w:color w:val="000000"/>
          <w:sz w:val="18"/>
        </w:rPr>
      </w:pPr>
      <w:r>
        <w:rPr>
          <w:rFonts w:ascii="Times New Roman;serif" w:hAnsi="Times New Roman;serif"/>
          <w:b/>
          <w:i/>
          <w:color w:val="000000"/>
          <w:sz w:val="18"/>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__________________________________</w:t>
      </w:r>
    </w:p>
    <w:tbl>
      <w:tblPr>
        <w:tblW w:w="7315" w:type="dxa"/>
        <w:jc w:val="center"/>
        <w:tblInd w:w="0" w:type="dxa"/>
        <w:tblLayout w:type="fixed"/>
        <w:tblCellMar>
          <w:top w:w="28" w:type="dxa"/>
          <w:left w:w="28" w:type="dxa"/>
          <w:bottom w:w="28" w:type="dxa"/>
          <w:right w:w="28" w:type="dxa"/>
        </w:tblCellMar>
      </w:tblPr>
      <w:tblGrid>
        <w:gridCol w:w="1610"/>
        <w:gridCol w:w="1419"/>
        <w:gridCol w:w="1425"/>
        <w:gridCol w:w="109"/>
        <w:gridCol w:w="109"/>
        <w:gridCol w:w="109"/>
        <w:gridCol w:w="740"/>
        <w:gridCol w:w="740"/>
        <w:gridCol w:w="1054"/>
      </w:tblGrid>
      <w:tr>
        <w:trPr/>
        <w:tc>
          <w:tcPr>
            <w:tcW w:w="1610"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60" w:after="283"/>
              <w:jc w:val="center"/>
              <w:rPr>
                <w:rFonts w:ascii="Times New Roman;serif" w:hAnsi="Times New Roman;serif"/>
                <w:b/>
                <w:color w:val="000000"/>
                <w:sz w:val="20"/>
              </w:rPr>
            </w:pPr>
            <w:r>
              <w:rPr>
                <w:rFonts w:ascii="Times New Roman;serif" w:hAnsi="Times New Roman;serif"/>
                <w:b/>
                <w:color w:val="000000"/>
                <w:sz w:val="20"/>
              </w:rPr>
              <w:t>Ontario, Canada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60" w:after="283"/>
              <w:jc w:val="center"/>
              <w:rPr>
                <w:rFonts w:ascii="Times New Roman;serif" w:hAnsi="Times New Roman;serif"/>
                <w:b/>
                <w:color w:val="000000"/>
                <w:sz w:val="20"/>
              </w:rPr>
            </w:pPr>
            <w:r>
              <w:rPr>
                <w:rFonts w:ascii="Times New Roman;serif" w:hAnsi="Times New Roman;serif"/>
                <w:b/>
                <w:color w:val="000000"/>
                <w:sz w:val="20"/>
              </w:rPr>
              <w:t>98-1220792</w:t>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(IRS Employer Identification No.)</w:t>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243 Tresser Blvd, 17th Floor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Stamford, 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06901</w:t>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100"/>
              <w:jc w:val="center"/>
              <w:rPr>
                <w:rFonts w:ascii="Times New Roman;serif" w:hAnsi="Times New Roman;serif"/>
                <w:b w:val="false"/>
                <w:i/>
                <w:color w:val="000000"/>
                <w:sz w:val="18"/>
              </w:rPr>
            </w:pPr>
            <w:r>
              <w:rPr>
                <w:rFonts w:ascii="Times New Roman;serif" w:hAnsi="Times New Roman;serif"/>
                <w:b w:val="false"/>
                <w:i/>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647 952-5049</w:t>
      </w:r>
    </w:p>
    <w:p>
      <w:pPr>
        <w:pStyle w:val="TextBody"/>
        <w:bidi w:val="0"/>
        <w:spacing w:lineRule="auto" w:line="288" w:before="0" w:after="0"/>
        <w:ind w:left="0" w:right="0" w:firstLine="540"/>
        <w:jc w:val="center"/>
        <w:rPr>
          <w:rFonts w:ascii="Times New Roman;serif" w:hAnsi="Times New Roman;serif"/>
          <w:b w:val="false"/>
          <w:i/>
          <w:color w:val="000000"/>
          <w:sz w:val="18"/>
        </w:rPr>
      </w:pPr>
      <w:r>
        <w:rPr>
          <w:rFonts w:ascii="Times New Roman;serif" w:hAnsi="Times New Roman;serif"/>
          <w:b w:val="false"/>
          <w:i/>
          <w:color w:val="000000"/>
          <w:sz w:val="18"/>
        </w:rPr>
        <w:t>(Registrant’s Telephone Number, Including Area Code)</w:t>
      </w:r>
    </w:p>
    <w:p>
      <w:pPr>
        <w:pStyle w:val="TextBody"/>
        <w:bidi w:val="0"/>
        <w:spacing w:lineRule="auto" w:line="288" w:before="60" w:after="283"/>
        <w:ind w:left="0" w:right="0" w:firstLine="540"/>
        <w:jc w:val="left"/>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bl>
      <w:tblPr>
        <w:tblW w:w="6493" w:type="dxa"/>
        <w:jc w:val="left"/>
        <w:tblInd w:w="0" w:type="dxa"/>
        <w:tblLayout w:type="fixed"/>
        <w:tblCellMar>
          <w:top w:w="28" w:type="dxa"/>
          <w:left w:w="28" w:type="dxa"/>
          <w:bottom w:w="28" w:type="dxa"/>
          <w:right w:w="28" w:type="dxa"/>
        </w:tblCellMar>
      </w:tblPr>
      <w:tblGrid>
        <w:gridCol w:w="526"/>
        <w:gridCol w:w="463"/>
        <w:gridCol w:w="466"/>
        <w:gridCol w:w="519"/>
        <w:gridCol w:w="519"/>
        <w:gridCol w:w="521"/>
        <w:gridCol w:w="1019"/>
        <w:gridCol w:w="1019"/>
        <w:gridCol w:w="1441"/>
      </w:tblGrid>
      <w:tr>
        <w:trPr/>
        <w:tc>
          <w:tcPr>
            <w:tcW w:w="52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Title of each class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Trading Symbol(s)</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Name of each exchange on which registered</w:t>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Common Shares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ANY</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Nasdaq Capital Market</w:t>
            </w:r>
          </w:p>
        </w:tc>
      </w:tr>
    </w:tbl>
    <w:p>
      <w:pPr>
        <w:pStyle w:val="TextBody"/>
        <w:bidi w:val="0"/>
        <w:spacing w:lineRule="auto" w:line="288" w:before="180" w:after="283"/>
        <w:ind w:left="0" w:right="0" w:firstLine="360"/>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88" w:before="60" w:after="283"/>
        <w:ind w:left="0" w:right="0" w:firstLine="360"/>
        <w:jc w:val="both"/>
        <w:rPr/>
      </w:pPr>
      <w:r>
        <w:rPr>
          <w:rFonts w:ascii="Times New Roman;serif" w:hAnsi="Times New Roman;serif"/>
          <w:b w:val="false"/>
          <w:color w:val="000000"/>
          <w:sz w:val="20"/>
        </w:rPr>
        <w:t>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pStyle w:val="TextBody"/>
        <w:bidi w:val="0"/>
        <w:spacing w:lineRule="auto" w:line="288" w:before="120" w:after="283"/>
        <w:jc w:val="left"/>
        <w:rPr/>
      </w:pPr>
      <w:r>
        <w:rPr>
          <w:rFonts w:ascii="Times New Roman;serif" w:hAnsi="Times New Roman;serif"/>
          <w:b w:val="false"/>
          <w:color w:val="000000"/>
          <w:sz w:val="20"/>
        </w:rPr>
        <w:t>Large accelerated filer ☐</w:t>
      </w:r>
      <w:r>
        <w:rPr>
          <w:color w:val="000000"/>
        </w:rPr>
        <w:t xml:space="preserve">             </w:t>
      </w:r>
      <w:r>
        <w:rPr>
          <w:rFonts w:ascii="Times New Roman;serif" w:hAnsi="Times New Roman;serif"/>
          <w:b w:val="false"/>
          <w:color w:val="000000"/>
          <w:sz w:val="20"/>
        </w:rPr>
        <w:t>Accelerated filer ☐</w:t>
      </w:r>
    </w:p>
    <w:p>
      <w:pPr>
        <w:pStyle w:val="TextBody"/>
        <w:bidi w:val="0"/>
        <w:spacing w:lineRule="auto" w:line="288" w:before="60" w:after="283"/>
        <w:jc w:val="left"/>
        <w:rPr/>
      </w:pPr>
      <w:r>
        <w:rPr>
          <w:rFonts w:ascii="Times New Roman;serif" w:hAnsi="Times New Roman;serif"/>
          <w:b w:val="false"/>
          <w:color w:val="000000"/>
          <w:sz w:val="20"/>
        </w:rPr>
        <w:t>Non-accelerated filer ☒</w:t>
      </w:r>
      <w:r>
        <w:rPr>
          <w:color w:val="000000"/>
        </w:rPr>
        <w:t xml:space="preserve">                 </w:t>
      </w:r>
      <w:r>
        <w:rPr>
          <w:rFonts w:ascii="Times New Roman;serif" w:hAnsi="Times New Roman;serif"/>
          <w:b w:val="false"/>
          <w:color w:val="000000"/>
          <w:sz w:val="20"/>
        </w:rPr>
        <w:t>Smaller reporting company ☒</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60" w:after="283"/>
        <w:ind w:left="0" w:right="0" w:firstLine="36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60" w:after="283"/>
        <w:ind w:left="0" w:right="0" w:firstLine="360"/>
        <w:jc w:val="both"/>
        <w:rPr/>
      </w:pPr>
      <w:r>
        <w:rPr>
          <w:rFonts w:ascii="Times New Roman;serif" w:hAnsi="Times New Roman;serif"/>
          <w:b w:val="false"/>
          <w:color w:val="000000"/>
          <w:sz w:val="20"/>
        </w:rPr>
        <w:t>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20"/>
        </w:rPr>
        <w:t>No ☒</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May 13, 2026, there were 4,243,822 shares of the registrant’s common shares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0" w:right="0" w:firstLine="540"/>
                        <w:jc w:val="left"/>
                        <w:rPr/>
                      </w:pPr>
                      <w:r>
                        <w:rPr/>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93"/>
        <w:gridCol w:w="258"/>
        <w:gridCol w:w="260"/>
        <w:gridCol w:w="124"/>
        <w:gridCol w:w="124"/>
        <w:gridCol w:w="124"/>
        <w:gridCol w:w="2745"/>
        <w:gridCol w:w="2699"/>
        <w:gridCol w:w="2706"/>
        <w:gridCol w:w="109"/>
        <w:gridCol w:w="109"/>
        <w:gridCol w:w="109"/>
        <w:gridCol w:w="158"/>
        <w:gridCol w:w="158"/>
        <w:gridCol w:w="229"/>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745" w:type="dxa"/>
            <w:tcBorders/>
            <w:vAlign w:val="center"/>
          </w:tcPr>
          <w:p>
            <w:pPr>
              <w:pStyle w:val="TableContents"/>
              <w:bidi w:val="0"/>
              <w:spacing w:before="0" w:after="283"/>
              <w:jc w:val="left"/>
              <w:rPr>
                <w:sz w:val="4"/>
                <w:szCs w:val="4"/>
              </w:rPr>
            </w:pPr>
            <w:r>
              <w:rPr>
                <w:sz w:val="4"/>
                <w:szCs w:val="4"/>
              </w:rPr>
            </w:r>
          </w:p>
        </w:tc>
        <w:tc>
          <w:tcPr>
            <w:tcW w:w="2699" w:type="dxa"/>
            <w:tcBorders/>
            <w:vAlign w:val="center"/>
          </w:tcPr>
          <w:p>
            <w:pPr>
              <w:pStyle w:val="TableContents"/>
              <w:bidi w:val="0"/>
              <w:spacing w:before="0" w:after="283"/>
              <w:jc w:val="left"/>
              <w:rPr>
                <w:sz w:val="4"/>
                <w:szCs w:val="4"/>
              </w:rPr>
            </w:pPr>
            <w:r>
              <w:rPr>
                <w:sz w:val="4"/>
                <w:szCs w:val="4"/>
              </w:rPr>
            </w:r>
          </w:p>
        </w:tc>
        <w:tc>
          <w:tcPr>
            <w:tcW w:w="2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TABLE OF CONTENTS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33"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928cf3b3ddf248a4a39df48b669d6dbc_10">
              <w:r>
                <w:rPr>
                  <w:rStyle w:val="InternetLink"/>
                  <w:rFonts w:ascii="Times New Roman;serif" w:hAnsi="Times New Roman;serif"/>
                  <w:b w:val="false"/>
                  <w:color w:val="0000FF"/>
                  <w:sz w:val="20"/>
                  <w:u w:val="single"/>
                </w:rPr>
                <w:t>PART I — FINANCIAL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28cf3b3ddf248a4a39df48b669d6dbc_13">
              <w:r>
                <w:rPr>
                  <w:rStyle w:val="InternetLink"/>
                  <w:rFonts w:ascii="Times New Roman;serif" w:hAnsi="Times New Roman;serif"/>
                  <w:b w:val="false"/>
                  <w:color w:val="0000FF"/>
                  <w:sz w:val="20"/>
                  <w:u w:val="single"/>
                </w:rPr>
                <w:t>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28cf3b3ddf248a4a39df48b669d6dbc_16">
              <w:r>
                <w:rPr>
                  <w:rStyle w:val="InternetLink"/>
                  <w:rFonts w:ascii="Times New Roman;serif" w:hAnsi="Times New Roman;serif"/>
                  <w:b w:val="false"/>
                  <w:color w:val="0000FF"/>
                  <w:sz w:val="20"/>
                  <w:u w:val="single"/>
                </w:rPr>
                <w:t>Condensed Consolidated Balance Sheets (unaudited) - March 31, 2026 and December 31,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28cf3b3ddf248a4a39df48b669d6dbc_16">
              <w:r>
                <w:rPr>
                  <w:rStyle w:val="InternetLink"/>
                  <w:rFonts w:ascii="Times New Roman;serif" w:hAnsi="Times New Roman;serif"/>
                  <w:b w:val="false"/>
                  <w:color w:val="0000FF"/>
                  <w:sz w:val="20"/>
                  <w:u w:val="single"/>
                </w:rPr>
                <w:t>1</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28cf3b3ddf248a4a39df48b669d6dbc_19">
              <w:r>
                <w:rPr>
                  <w:rStyle w:val="InternetLink"/>
                  <w:rFonts w:ascii="Times New Roman;serif" w:hAnsi="Times New Roman;serif"/>
                  <w:b w:val="false"/>
                  <w:color w:val="0000FF"/>
                  <w:sz w:val="20"/>
                  <w:u w:val="single"/>
                </w:rPr>
                <w:t>Condensed Consolidated Statements of Operations (unaudited) - Three Months Ended March 31, 2026 and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28cf3b3ddf248a4a39df48b669d6dbc_19">
              <w:r>
                <w:rPr>
                  <w:rStyle w:val="InternetLink"/>
                  <w:rFonts w:ascii="Times New Roman;serif" w:hAnsi="Times New Roman;serif"/>
                  <w:b w:val="false"/>
                  <w:color w:val="0000FF"/>
                  <w:sz w:val="20"/>
                  <w:u w:val="single"/>
                </w:rPr>
                <w:t>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28cf3b3ddf248a4a39df48b669d6dbc_22">
              <w:r>
                <w:rPr>
                  <w:rStyle w:val="InternetLink"/>
                  <w:rFonts w:ascii="Times New Roman;serif" w:hAnsi="Times New Roman;serif"/>
                  <w:b w:val="false"/>
                  <w:color w:val="0000FF"/>
                  <w:sz w:val="20"/>
                  <w:u w:val="single"/>
                </w:rPr>
                <w:t>Condensed Consolidated Statements of Comprehensive Loss (unaudited) - Three Months Ended March 31, 2026 and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28cf3b3ddf248a4a39df48b669d6dbc_22">
              <w:r>
                <w:rPr>
                  <w:rStyle w:val="InternetLink"/>
                  <w:rFonts w:ascii="Times New Roman;serif" w:hAnsi="Times New Roman;serif"/>
                  <w:b w:val="false"/>
                  <w:color w:val="0000FF"/>
                  <w:sz w:val="20"/>
                  <w:u w:val="single"/>
                </w:rPr>
                <w:t>3</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28cf3b3ddf248a4a39df48b669d6dbc_25">
              <w:r>
                <w:rPr>
                  <w:rStyle w:val="InternetLink"/>
                  <w:rFonts w:ascii="Times New Roman;serif" w:hAnsi="Times New Roman;serif"/>
                  <w:b w:val="false"/>
                  <w:color w:val="0000FF"/>
                  <w:sz w:val="20"/>
                  <w:u w:val="single"/>
                </w:rPr>
                <w:t>Condensed Consolidated Statements of Shareholders’ Equity (unaudited)- Three Months Ended March 31, 2026 and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28cf3b3ddf248a4a39df48b669d6dbc_25">
              <w:r>
                <w:rPr>
                  <w:rStyle w:val="InternetLink"/>
                  <w:rFonts w:ascii="Times New Roman;serif" w:hAnsi="Times New Roman;serif"/>
                  <w:b w:val="false"/>
                  <w:color w:val="0000FF"/>
                  <w:sz w:val="20"/>
                  <w:u w:val="single"/>
                </w:rPr>
                <w:t>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28cf3b3ddf248a4a39df48b669d6dbc_28">
              <w:r>
                <w:rPr>
                  <w:rStyle w:val="InternetLink"/>
                  <w:rFonts w:ascii="Times New Roman;serif" w:hAnsi="Times New Roman;serif"/>
                  <w:b w:val="false"/>
                  <w:color w:val="0000FF"/>
                  <w:sz w:val="20"/>
                  <w:u w:val="single"/>
                </w:rPr>
                <w:t>Condensed Consolidated Statements of Cash Flows (unaudited) - Three Months Ended March 31, 2026 and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28cf3b3ddf248a4a39df48b669d6dbc_28">
              <w:r>
                <w:rPr>
                  <w:rStyle w:val="InternetLink"/>
                  <w:rFonts w:ascii="Times New Roman;serif" w:hAnsi="Times New Roman;serif"/>
                  <w:b w:val="false"/>
                  <w:color w:val="0000FF"/>
                  <w:sz w:val="20"/>
                  <w:u w:val="single"/>
                </w:rPr>
                <w:t>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28cf3b3ddf248a4a39df48b669d6dbc_31">
              <w:r>
                <w:rPr>
                  <w:rStyle w:val="InternetLink"/>
                  <w:rFonts w:ascii="Times New Roman;serif" w:hAnsi="Times New Roman;serif"/>
                  <w:b w:val="false"/>
                  <w:color w:val="0000FF"/>
                  <w:sz w:val="20"/>
                  <w:u w:val="single"/>
                </w:rPr>
                <w:t>Notes to Condensed Consolidated Financial Statements (unaudited)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28cf3b3ddf248a4a39df48b669d6dbc_31">
              <w:r>
                <w:rPr>
                  <w:rStyle w:val="InternetLink"/>
                  <w:rFonts w:ascii="Times New Roman;serif" w:hAnsi="Times New Roman;serif"/>
                  <w:b w:val="false"/>
                  <w:color w:val="0000FF"/>
                  <w:sz w:val="20"/>
                  <w:u w:val="single"/>
                </w:rPr>
                <w:t>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28cf3b3ddf248a4a39df48b669d6dbc_76">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28cf3b3ddf248a4a39df48b669d6dbc_76">
              <w:r>
                <w:rPr>
                  <w:rStyle w:val="InternetLink"/>
                  <w:rFonts w:ascii="Times New Roman;serif" w:hAnsi="Times New Roman;serif"/>
                  <w:b w:val="false"/>
                  <w:color w:val="0000FF"/>
                  <w:sz w:val="20"/>
                  <w:u w:val="single"/>
                </w:rPr>
                <w:t>20</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28cf3b3ddf248a4a39df48b669d6dbc_79">
              <w:r>
                <w:rPr>
                  <w:rStyle w:val="InternetLink"/>
                  <w:rFonts w:ascii="Times New Roman;serif" w:hAnsi="Times New Roman;serif"/>
                  <w:b w:val="false"/>
                  <w:color w:val="0000FF"/>
                  <w:sz w:val="20"/>
                  <w:u w:val="single"/>
                </w:rPr>
                <w:t>Quantitative and Qualitative Disclosures About Market Risk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28cf3b3ddf248a4a39df48b669d6dbc_79">
              <w:r>
                <w:rPr>
                  <w:rStyle w:val="InternetLink"/>
                  <w:rFonts w:ascii="Times New Roman;serif" w:hAnsi="Times New Roman;serif"/>
                  <w:b w:val="false"/>
                  <w:color w:val="0000FF"/>
                  <w:sz w:val="20"/>
                  <w:u w:val="single"/>
                </w:rPr>
                <w:t>24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28cf3b3ddf248a4a39df48b669d6dbc_82">
              <w:r>
                <w:rPr>
                  <w:rStyle w:val="InternetLink"/>
                  <w:rFonts w:ascii="Times New Roman;serif" w:hAnsi="Times New Roman;serif"/>
                  <w:b w:val="false"/>
                  <w:color w:val="0000FF"/>
                  <w:sz w:val="20"/>
                  <w:u w:val="single"/>
                </w:rPr>
                <w:t>Controls and Procedures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28cf3b3ddf248a4a39df48b669d6dbc_82">
              <w:r>
                <w:rPr>
                  <w:rStyle w:val="InternetLink"/>
                  <w:rFonts w:ascii="Times New Roman;serif" w:hAnsi="Times New Roman;serif"/>
                  <w:b w:val="false"/>
                  <w:color w:val="0000FF"/>
                  <w:sz w:val="20"/>
                  <w:u w:val="single"/>
                </w:rPr>
                <w:t>24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33"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928cf3b3ddf248a4a39df48b669d6dbc_85">
              <w:r>
                <w:rPr>
                  <w:rStyle w:val="InternetLink"/>
                  <w:rFonts w:ascii="Times New Roman;serif" w:hAnsi="Times New Roman;serif"/>
                  <w:b w:val="false"/>
                  <w:color w:val="0000FF"/>
                  <w:sz w:val="20"/>
                  <w:u w:val="single"/>
                </w:rPr>
                <w:t>PART II — OTHER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28cf3b3ddf248a4a39df48b669d6dbc_88">
              <w:r>
                <w:rPr>
                  <w:rStyle w:val="InternetLink"/>
                  <w:rFonts w:ascii="Times New Roman;serif" w:hAnsi="Times New Roman;serif"/>
                  <w:b w:val="false"/>
                  <w:color w:val="0000FF"/>
                  <w:sz w:val="20"/>
                  <w:u w:val="single"/>
                </w:rPr>
                <w:t>Legal Proceedings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28cf3b3ddf248a4a39df48b669d6dbc_88">
              <w:r>
                <w:rPr>
                  <w:rStyle w:val="InternetLink"/>
                  <w:rFonts w:ascii="Times New Roman;serif" w:hAnsi="Times New Roman;serif"/>
                  <w:b w:val="false"/>
                  <w:color w:val="0000FF"/>
                  <w:sz w:val="20"/>
                  <w:u w:val="single"/>
                </w:rPr>
                <w:t>25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28cf3b3ddf248a4a39df48b669d6dbc_91">
              <w:r>
                <w:rPr>
                  <w:rStyle w:val="InternetLink"/>
                  <w:rFonts w:ascii="Times New Roman;serif" w:hAnsi="Times New Roman;serif"/>
                  <w:b w:val="false"/>
                  <w:color w:val="0000FF"/>
                  <w:sz w:val="20"/>
                  <w:u w:val="single"/>
                </w:rPr>
                <w:t>Risk Factors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28cf3b3ddf248a4a39df48b669d6dbc_91">
              <w:r>
                <w:rPr>
                  <w:rStyle w:val="InternetLink"/>
                  <w:rFonts w:ascii="Times New Roman;serif" w:hAnsi="Times New Roman;serif"/>
                  <w:b w:val="false"/>
                  <w:color w:val="0000FF"/>
                  <w:sz w:val="20"/>
                  <w:u w:val="single"/>
                </w:rPr>
                <w:t>25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28cf3b3ddf248a4a39df48b669d6dbc_94">
              <w:r>
                <w:rPr>
                  <w:rStyle w:val="InternetLink"/>
                  <w:rFonts w:ascii="Times New Roman;serif" w:hAnsi="Times New Roman;serif"/>
                  <w:b w:val="false"/>
                  <w:color w:val="0000FF"/>
                  <w:sz w:val="20"/>
                  <w:u w:val="single"/>
                </w:rPr>
                <w:t>Unregistered Sales of Equity Securities and Use of Proceeds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28cf3b3ddf248a4a39df48b669d6dbc_94">
              <w:r>
                <w:rPr>
                  <w:rStyle w:val="InternetLink"/>
                  <w:rFonts w:ascii="Times New Roman;serif" w:hAnsi="Times New Roman;serif"/>
                  <w:b w:val="false"/>
                  <w:color w:val="0000FF"/>
                  <w:sz w:val="20"/>
                  <w:u w:val="single"/>
                </w:rPr>
                <w:t>25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28cf3b3ddf248a4a39df48b669d6dbc_97">
              <w:r>
                <w:rPr>
                  <w:rStyle w:val="InternetLink"/>
                  <w:rFonts w:ascii="Times New Roman;serif" w:hAnsi="Times New Roman;serif"/>
                  <w:b w:val="false"/>
                  <w:color w:val="0000FF"/>
                  <w:sz w:val="20"/>
                  <w:u w:val="single"/>
                </w:rPr>
                <w:t>Defaults Upon Senior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28cf3b3ddf248a4a39df48b669d6dbc_97">
              <w:r>
                <w:rPr>
                  <w:rStyle w:val="InternetLink"/>
                  <w:rFonts w:ascii="Times New Roman;serif" w:hAnsi="Times New Roman;serif"/>
                  <w:b w:val="false"/>
                  <w:color w:val="0000FF"/>
                  <w:sz w:val="20"/>
                  <w:u w:val="single"/>
                </w:rPr>
                <w:t>25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28cf3b3ddf248a4a39df48b669d6dbc_100">
              <w:r>
                <w:rPr>
                  <w:rStyle w:val="InternetLink"/>
                  <w:rFonts w:ascii="Times New Roman;serif" w:hAnsi="Times New Roman;serif"/>
                  <w:b w:val="false"/>
                  <w:color w:val="0000FF"/>
                  <w:sz w:val="20"/>
                  <w:u w:val="single"/>
                </w:rPr>
                <w:t>Mine Safety Disclosures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28cf3b3ddf248a4a39df48b669d6dbc_100">
              <w:r>
                <w:rPr>
                  <w:rStyle w:val="InternetLink"/>
                  <w:rFonts w:ascii="Times New Roman;serif" w:hAnsi="Times New Roman;serif"/>
                  <w:b w:val="false"/>
                  <w:color w:val="0000FF"/>
                  <w:sz w:val="20"/>
                  <w:u w:val="single"/>
                </w:rPr>
                <w:t>25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28cf3b3ddf248a4a39df48b669d6dbc_103">
              <w:r>
                <w:rPr>
                  <w:rStyle w:val="InternetLink"/>
                  <w:rFonts w:ascii="Times New Roman;serif" w:hAnsi="Times New Roman;serif"/>
                  <w:b w:val="false"/>
                  <w:color w:val="0000FF"/>
                  <w:sz w:val="20"/>
                  <w:u w:val="single"/>
                </w:rPr>
                <w:t>Other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28cf3b3ddf248a4a39df48b669d6dbc_103">
              <w:r>
                <w:rPr>
                  <w:rStyle w:val="InternetLink"/>
                  <w:rFonts w:ascii="Times New Roman;serif" w:hAnsi="Times New Roman;serif"/>
                  <w:b w:val="false"/>
                  <w:color w:val="0000FF"/>
                  <w:sz w:val="20"/>
                  <w:u w:val="single"/>
                </w:rPr>
                <w:t>25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28cf3b3ddf248a4a39df48b669d6dbc_106">
              <w:r>
                <w:rPr>
                  <w:rStyle w:val="InternetLink"/>
                  <w:rFonts w:ascii="Times New Roman;serif" w:hAnsi="Times New Roman;serif"/>
                  <w:b w:val="false"/>
                  <w:color w:val="0000FF"/>
                  <w:sz w:val="20"/>
                  <w:u w:val="single"/>
                </w:rPr>
                <w:t>Exhibits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28cf3b3ddf248a4a39df48b669d6dbc_106">
              <w:r>
                <w:rPr>
                  <w:rStyle w:val="InternetLink"/>
                  <w:rFonts w:ascii="Times New Roman;serif" w:hAnsi="Times New Roman;serif"/>
                  <w:b w:val="false"/>
                  <w:color w:val="0000FF"/>
                  <w:sz w:val="20"/>
                  <w:u w:val="single"/>
                </w:rPr>
                <w:t>26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28cf3b3ddf248a4a39df48b669d6dbc_109">
              <w:r>
                <w:rPr>
                  <w:rStyle w:val="InternetLink"/>
                  <w:rFonts w:ascii="Times New Roman;serif" w:hAnsi="Times New Roman;serif"/>
                  <w:b w:val="false"/>
                  <w:color w:val="0000FF"/>
                  <w:sz w:val="20"/>
                  <w:u w:val="single"/>
                </w:rPr>
                <w:t>Signature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28cf3b3ddf248a4a39df48b669d6dbc_109">
              <w:r>
                <w:rPr>
                  <w:rStyle w:val="InternetLink"/>
                  <w:rFonts w:ascii="Times New Roman;serif" w:hAnsi="Times New Roman;serif"/>
                  <w:b w:val="false"/>
                  <w:color w:val="0000FF"/>
                  <w:sz w:val="20"/>
                  <w:u w:val="single"/>
                </w:rPr>
                <w:t>28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51460"/>
                <wp:effectExtent l="0" t="0" r="0" b="0"/>
                <wp:wrapNone/>
                <wp:docPr id="2" name="Frame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0" w:right="0" w:firstLine="540"/>
                        <w:jc w:val="left"/>
                        <w:rPr/>
                      </w:pPr>
                      <w:r>
                        <w:rPr/>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Sphere 3D Corp.</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896"/>
        <w:gridCol w:w="2424"/>
        <w:gridCol w:w="2399"/>
        <w:gridCol w:w="211"/>
        <w:gridCol w:w="721"/>
        <w:gridCol w:w="109"/>
        <w:gridCol w:w="109"/>
        <w:gridCol w:w="109"/>
        <w:gridCol w:w="109"/>
        <w:gridCol w:w="216"/>
        <w:gridCol w:w="741"/>
        <w:gridCol w:w="161"/>
      </w:tblGrid>
      <w:tr>
        <w:trPr/>
        <w:tc>
          <w:tcPr>
            <w:tcW w:w="289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c>
          <w:tcPr>
            <w:tcW w:w="23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Bitcoin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77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8,677 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25,120 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Temporary Equity, and Shareholders’ Equity</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 and employee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77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77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77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77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12)</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Temporary equity:</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Series H preferred shares, no par value, unlimited shares authorized, 161 shares issued and outstanding as of both March 31, 2026 and December 31, 2025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Common shares, no par value; unlimited shares authorized, 3,767,086 and 3,392,541 shares issued and outstanding as of March 31, 2026 and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December 31, 2025, respectively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503,414 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(482,409)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(478,303)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temporary equity, and shareholders’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25,120 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22885"/>
                <wp:effectExtent l="0" t="0" r="0" b="0"/>
                <wp:wrapNone/>
                <wp:docPr id="3" name="Frame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Sphere 3D Corp.</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128" w:type="dxa"/>
        <w:jc w:val="center"/>
        <w:tblInd w:w="0" w:type="dxa"/>
        <w:tblLayout w:type="fixed"/>
        <w:tblCellMar>
          <w:top w:w="28" w:type="dxa"/>
          <w:left w:w="28" w:type="dxa"/>
          <w:bottom w:w="28" w:type="dxa"/>
          <w:right w:w="28" w:type="dxa"/>
        </w:tblCellMar>
      </w:tblPr>
      <w:tblGrid>
        <w:gridCol w:w="2228"/>
        <w:gridCol w:w="1955"/>
        <w:gridCol w:w="1967"/>
        <w:gridCol w:w="244"/>
        <w:gridCol w:w="732"/>
        <w:gridCol w:w="109"/>
        <w:gridCol w:w="109"/>
        <w:gridCol w:w="109"/>
        <w:gridCol w:w="109"/>
        <w:gridCol w:w="244"/>
        <w:gridCol w:w="732"/>
        <w:gridCol w:w="109"/>
        <w:gridCol w:w="109"/>
        <w:gridCol w:w="109"/>
        <w:gridCol w:w="109"/>
        <w:gridCol w:w="154"/>
      </w:tblGrid>
      <w:tr>
        <w:trPr/>
        <w:tc>
          <w:tcPr>
            <w:tcW w:w="2228"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c>
          <w:tcPr>
            <w:tcW w:w="196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w:t>
              <w:br/>
              <w:t>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497" w:type="dxa"/>
            <w:gridSpan w:val="9"/>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Bitcoin mining revenue</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costs and expenses:</w:t>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(exclusive of depreciation and amortization shown below)</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property and equipment</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Bitcoin</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costs and expenses</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loss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before taxes</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per share:</w:t>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Shares used in computing net loss per share:</w:t>
            </w:r>
          </w:p>
        </w:tc>
        <w:tc>
          <w:tcPr>
            <w:tcW w:w="10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976"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3,480,663 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2,721,044 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22885"/>
                <wp:effectExtent l="0" t="0" r="0" b="0"/>
                <wp:wrapNone/>
                <wp:docPr id="4" name="Frame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Sphere 3D Corp.</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6189" w:type="dxa"/>
        <w:jc w:val="center"/>
        <w:tblInd w:w="0" w:type="dxa"/>
        <w:tblLayout w:type="fixed"/>
        <w:tblCellMar>
          <w:top w:w="28" w:type="dxa"/>
          <w:left w:w="28" w:type="dxa"/>
          <w:bottom w:w="28" w:type="dxa"/>
          <w:right w:w="28" w:type="dxa"/>
        </w:tblCellMar>
      </w:tblPr>
      <w:tblGrid>
        <w:gridCol w:w="1216"/>
        <w:gridCol w:w="1062"/>
        <w:gridCol w:w="1081"/>
        <w:gridCol w:w="211"/>
        <w:gridCol w:w="691"/>
        <w:gridCol w:w="109"/>
        <w:gridCol w:w="109"/>
        <w:gridCol w:w="109"/>
        <w:gridCol w:w="109"/>
        <w:gridCol w:w="211"/>
        <w:gridCol w:w="691"/>
        <w:gridCol w:w="109"/>
        <w:gridCol w:w="109"/>
        <w:gridCol w:w="109"/>
        <w:gridCol w:w="109"/>
        <w:gridCol w:w="154"/>
      </w:tblGrid>
      <w:tr>
        <w:trPr/>
        <w:tc>
          <w:tcPr>
            <w:tcW w:w="1216"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w:t>
              <w:br/>
              <w:t>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loss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22885"/>
                <wp:effectExtent l="0" t="0" r="0" b="0"/>
                <wp:wrapNone/>
                <wp:docPr id="5" name="Frame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Sphere 3D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Shareholders’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052"/>
        <w:gridCol w:w="710"/>
        <w:gridCol w:w="713"/>
        <w:gridCol w:w="109"/>
        <w:gridCol w:w="109"/>
        <w:gridCol w:w="258"/>
        <w:gridCol w:w="258"/>
        <w:gridCol w:w="435"/>
        <w:gridCol w:w="436"/>
        <w:gridCol w:w="259"/>
        <w:gridCol w:w="109"/>
        <w:gridCol w:w="109"/>
        <w:gridCol w:w="109"/>
        <w:gridCol w:w="196"/>
        <w:gridCol w:w="736"/>
        <w:gridCol w:w="109"/>
        <w:gridCol w:w="109"/>
        <w:gridCol w:w="109"/>
        <w:gridCol w:w="109"/>
        <w:gridCol w:w="235"/>
        <w:gridCol w:w="685"/>
        <w:gridCol w:w="131"/>
        <w:gridCol w:w="230"/>
        <w:gridCol w:w="230"/>
        <w:gridCol w:w="231"/>
        <w:gridCol w:w="196"/>
        <w:gridCol w:w="799"/>
        <w:gridCol w:w="109"/>
        <w:gridCol w:w="109"/>
        <w:gridCol w:w="109"/>
        <w:gridCol w:w="109"/>
        <w:gridCol w:w="196"/>
        <w:gridCol w:w="646"/>
        <w:gridCol w:w="156"/>
      </w:tblGrid>
      <w:tr>
        <w:trPr/>
        <w:tc>
          <w:tcPr>
            <w:tcW w:w="1052"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6"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Other</w:t>
              <w:br/>
              <w:t>Comprehensive</w:t>
              <w:br/>
              <w:t>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Shareholders'</w:t>
              <w:br/>
              <w:t>Equity</w:t>
            </w:r>
          </w:p>
        </w:tc>
        <w:tc>
          <w:tcPr>
            <w:tcW w:w="1325" w:type="dxa"/>
            <w:gridSpan w:val="6"/>
            <w:tcBorders/>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110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January 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3,392,541 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503,414 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(1,811)</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(478,303)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23,300 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shares for reverse stock split fractional</w:t>
              <w:br/>
              <w:t>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38,263 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shares,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256,142 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shares for settlement of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45,532 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shares for vested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34,608 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3,767,086 </w:t>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504,215 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(1,811)</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(482,409)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19,995 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092"/>
        <w:gridCol w:w="690"/>
        <w:gridCol w:w="693"/>
        <w:gridCol w:w="109"/>
        <w:gridCol w:w="109"/>
        <w:gridCol w:w="258"/>
        <w:gridCol w:w="258"/>
        <w:gridCol w:w="435"/>
        <w:gridCol w:w="436"/>
        <w:gridCol w:w="259"/>
        <w:gridCol w:w="109"/>
        <w:gridCol w:w="109"/>
        <w:gridCol w:w="109"/>
        <w:gridCol w:w="196"/>
        <w:gridCol w:w="736"/>
        <w:gridCol w:w="109"/>
        <w:gridCol w:w="109"/>
        <w:gridCol w:w="109"/>
        <w:gridCol w:w="109"/>
        <w:gridCol w:w="235"/>
        <w:gridCol w:w="685"/>
        <w:gridCol w:w="131"/>
        <w:gridCol w:w="230"/>
        <w:gridCol w:w="230"/>
        <w:gridCol w:w="231"/>
        <w:gridCol w:w="196"/>
        <w:gridCol w:w="799"/>
        <w:gridCol w:w="109"/>
        <w:gridCol w:w="109"/>
        <w:gridCol w:w="109"/>
        <w:gridCol w:w="109"/>
        <w:gridCol w:w="196"/>
        <w:gridCol w:w="646"/>
        <w:gridCol w:w="156"/>
      </w:tblGrid>
      <w:tr>
        <w:trPr/>
        <w:tc>
          <w:tcPr>
            <w:tcW w:w="1092"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6"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Other</w:t>
              <w:br/>
              <w:t>Comprehensive</w:t>
              <w:br/>
              <w:t>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Shareholders'</w:t>
              <w:br/>
              <w:t>Equity</w:t>
            </w:r>
          </w:p>
        </w:tc>
        <w:tc>
          <w:tcPr>
            <w:tcW w:w="1325" w:type="dxa"/>
            <w:gridSpan w:val="6"/>
            <w:tcBorders/>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110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January 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2,545,342 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497,957 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(1,821)</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(456,821)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39,315 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shares,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21,045 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Issuance of common shares pursuant to vesting of restricted </w:t>
              <w:br/>
              <w:t>     stock units, net of shares withheld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751 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pre-funded warrants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50,700 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(8,785)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2,617,838 </w:t>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498,136 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(1,824)</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(465,606)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30,706 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pStyle w:val="TextBody"/>
        <w:bidi w:val="0"/>
        <w:spacing w:before="6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22885"/>
                <wp:effectExtent l="0" t="0" r="0" b="0"/>
                <wp:wrapNone/>
                <wp:docPr id="6" name="Frame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Sphere 3D Corp.</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Condensed Consolidated Statements of Cash Flows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 of U.S. dollars)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tbl>
      <w:tblPr>
        <w:tblW w:w="7869" w:type="dxa"/>
        <w:jc w:val="center"/>
        <w:tblInd w:w="0" w:type="dxa"/>
        <w:tblLayout w:type="fixed"/>
        <w:tblCellMar>
          <w:top w:w="28" w:type="dxa"/>
          <w:left w:w="28" w:type="dxa"/>
          <w:bottom w:w="28" w:type="dxa"/>
          <w:right w:w="28" w:type="dxa"/>
        </w:tblCellMar>
      </w:tblPr>
      <w:tblGrid>
        <w:gridCol w:w="2035"/>
        <w:gridCol w:w="1791"/>
        <w:gridCol w:w="1799"/>
        <w:gridCol w:w="196"/>
        <w:gridCol w:w="631"/>
        <w:gridCol w:w="109"/>
        <w:gridCol w:w="109"/>
        <w:gridCol w:w="109"/>
        <w:gridCol w:w="109"/>
        <w:gridCol w:w="196"/>
        <w:gridCol w:w="631"/>
        <w:gridCol w:w="154"/>
      </w:tblGrid>
      <w:tr>
        <w:trPr/>
        <w:tc>
          <w:tcPr>
            <w:tcW w:w="2035"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79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w:t>
              <w:br/>
              <w:t>Ended March 31,</w:t>
            </w:r>
          </w:p>
        </w:tc>
      </w:tr>
      <w:tr>
        <w:trPr/>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activities:</w:t>
            </w:r>
          </w:p>
        </w:tc>
        <w:tc>
          <w:tcPr>
            <w:tcW w:w="2244"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used in operating activities: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Bitcoin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disposal of property and equipment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loss on investment in equity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warrant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Mining of Bitcoin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payroll and employee compensation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 and liabilities,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operating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Investing activities: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Bitcoin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purchase of property and equipment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property and equipment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investing activities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Financing activities:</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common shares,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issuance costs for common shares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financing activities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 cash and cash equivalents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beginning of period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2244" w:type="dxa"/>
            <w:gridSpan w:val="9"/>
            <w:tcBorders/>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2244" w:type="dxa"/>
            <w:gridSpan w:val="9"/>
            <w:tcBorders/>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2244" w:type="dxa"/>
            <w:gridSpan w:val="9"/>
            <w:tcBorders/>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2244" w:type="dxa"/>
            <w:gridSpan w:val="9"/>
            <w:tcBorders/>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2244" w:type="dxa"/>
            <w:gridSpan w:val="9"/>
            <w:tcBorders/>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308" w:type="dxa"/>
            <w:gridSpan w:val="6"/>
            <w:tcBorders/>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308" w:type="dxa"/>
            <w:gridSpan w:val="6"/>
            <w:tcBorders/>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disclosures of non-cash investing and financing activities: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exchanged for new mining equipment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shares for settlement of liabilities</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 accrued for purchases of property and equipment</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exchanged for settlement of liabilities</w:t>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22885"/>
                <wp:effectExtent l="0" t="0" r="0" b="0"/>
                <wp:wrapNone/>
                <wp:docPr id="7" name="Frame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Sphere 3D Corp.</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1.Organization and Business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Sphere 3D Corp. was incorporated under the </w:t>
      </w:r>
      <w:r>
        <w:rPr>
          <w:rFonts w:ascii="Times New Roman;serif" w:hAnsi="Times New Roman;serif"/>
          <w:b w:val="false"/>
          <w:i/>
          <w:color w:val="000000"/>
          <w:sz w:val="20"/>
        </w:rPr>
        <w:t>Business Corporations Act (Ontario)</w:t>
      </w:r>
      <w:r>
        <w:rPr>
          <w:color w:val="000000"/>
        </w:rPr>
        <w:t xml:space="preserve"> </w:t>
      </w:r>
      <w:r>
        <w:rPr>
          <w:rFonts w:ascii="Times New Roman;serif" w:hAnsi="Times New Roman;serif"/>
          <w:b w:val="false"/>
          <w:color w:val="000000"/>
          <w:sz w:val="20"/>
        </w:rPr>
        <w:t>on May 2, 2007 as T.B. Mining Ventures Inc. On March 24, 2015, the Company completed a short-form amalgamation with a wholly-owned subsidiary. In connection with the short-form amalgamation, the Company changed its name to “Sphere 3D Corp.” Any reference to the “Company”, “Sphere 3D”, “we”, “our”, “us”, or similar terms refers to Sphere 3D Corp. and its subsidiaries. In January 2022, the Company commenced operations of its Bitcoin mining business and is dedicated to becoming a leader in the blockchain and cryptocurrency industry. The Company has established and plans to continue to grow an enterprise-scale mining operation through the procurement of mining equipment and infrastructure, and partnering with experienced service providers.</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Business Combination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March 5, 2026, the Company and Cathedra Bitcoin Inc. (“Cathedra”), entered into a definitive agreement to combine the two companies in an all-stock transaction (the “Arrangement Agreement”). Under the terms of the Arrangement Agreement, the Company has agreed to acquire all of the issued and outstanding shares of Cathedra (the “Transaction”), subject to customary closing conditions, including regulatory, court, and shareholder approvals, such that upon consummation of the Transaction, Cathedra will be a wholly-owned subsidiary of the Company. If the Arrangement Agreement is terminated in certain specified circumstances, the Company or Cathedra would be required to pay the other party a termination fee of $0.5 million. The Arrangement Agreement is currently expected to close in the second quarter of 2026.</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Share Consolidation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February 9, 2026, the Company filed an Articles of Amendment to effect a share consolidation (also known as a reverse stock split) of its issued and outstanding common shares in the ratio of 1-for-10. The share consolidation was effective on February 9, 2026. The Company’s common shares began trading on an adjusted basis on the Nasdaq Capital Market (“Nasdaq”) at the opening of trading on February 10, 2026. All share and per share amounts have been restated for all periods presented to reflect the share consolidation.</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Going Concern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Management has projected that based on our recurring losses, negative cash flows from operating activities, and our hashing rate at March 31, 2026, cash on hand may not be sufficient to allow the Company to continue operations and there is substantial doubt about our ability to continue as a going concern within 12 months from the date of issuance of our financial statements if we are unable to raise additional funding for operations. We expect our working capital needs to increase in the future as we continue to expand and enhance our operations. Our ability to raise additional funds for working capital through equity or debt financings or other sources may depend on the financial success of our business and successful implementation of our key strategic initiatives, financial, economic and market conditions and other factors, some of which are beyond our control. We require additional capital and if we are unsuccessful in raising that capital at a reasonable cost and at the required times, or at all, we may not be able to continue our business operations in the cryptocurrency mining industry or we may be unable to advance our growth initiatives, either of which could adversely impact our business, financial condition and results of operations. In an effort to mitigate these risks we are taking steps to lower our cost of mining and have refreshed our mining fleet to increase our mining efficiency.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22885"/>
                <wp:effectExtent l="0" t="0" r="0" b="0"/>
                <wp:wrapNone/>
                <wp:docPr id="8" name="Frame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Significant changes from our current forecasts, including but not limited to: (i) shortfalls from projected mining earning levels; (ii) increases in operating costs; (iii) decreases in the value of cryptocurrency; and (iv) if we do not maintain compliance with the requirements of Nasdaq and/or we do not maintain our listing with Nasdaq it could have a material adverse impact on our ability to access the level of funding necessary to continue operations at current levels. These factors, among others, should they occur may result in our inability to continue as a going concern within 12 months from the date of issuance of our financial statements. The accompanying consolidated financial statements have been prepared on a going concern basis, which contemplates the realization of assets and the satisfaction of liabilities in the normal course of business and do not include any adjustments that might result from the outcome of this uncertainty.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2.Summary of Significant Accounting Policies</w:t>
      </w:r>
    </w:p>
    <w:p>
      <w:pPr>
        <w:pStyle w:val="TextBody"/>
        <w:bidi w:val="0"/>
        <w:spacing w:lineRule="auto" w:line="288" w:before="120" w:after="283"/>
        <w:ind w:left="0" w:right="0" w:firstLine="540"/>
        <w:jc w:val="left"/>
        <w:rPr>
          <w:rFonts w:ascii="Times New Roman;serif" w:hAnsi="Times New Roman;serif"/>
          <w:b/>
          <w:color w:val="000000"/>
          <w:sz w:val="20"/>
        </w:rPr>
      </w:pPr>
      <w:r>
        <w:rPr>
          <w:rFonts w:ascii="Times New Roman;serif" w:hAnsi="Times New Roman;serif"/>
          <w:b/>
          <w:color w:val="000000"/>
          <w:sz w:val="20"/>
        </w:rPr>
        <w:t>Principles of Consolidation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of the Company have been prepared by management in accordance with accounting principles generally accepted in the United States of America (“GAAP”), applied on a basis consistent for all periods. Accordingly, they do not include all of the information and disclosures required by U.S. GAAP for a complete set of financial statements. These condensed consolidated financial statements and notes thereto should be read in conjunction with the audited consolidated financial statements and notes thereto included in the Company’s Annual Report on Form 10-K for the year ended December 31, 2025, filed with the Securities and Exchange Commission on March 27, 2026. In the opinion of management, all adjustments of a normal recurring nature considered necessary for a fair presentation have been included. The results of operations of any interim period are not necessarily indicative of the results of operations to be expected for the full fiscal year. These condensed consolidated financial statements include the accounts of the Company and its subsidiaries. All intercompany balances and transactions have been appropriately eliminated in consolidation.</w:t>
      </w:r>
    </w:p>
    <w:p>
      <w:pPr>
        <w:pStyle w:val="TextBody"/>
        <w:bidi w:val="0"/>
        <w:spacing w:lineRule="auto" w:line="288" w:before="120" w:after="283"/>
        <w:ind w:left="0" w:right="0" w:firstLine="540"/>
        <w:jc w:val="left"/>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the condensed consolidated financial statements requires management to make estimates and assumptions that affect the reported amounts of assets and liabilities and disclosure of contingent assets and liabilities at the date of the condensed consolidated financial statements and reported amounts of revenues and expenses during the reporting period. Actual results could differ from these estimates. </w:t>
      </w:r>
    </w:p>
    <w:p>
      <w:pPr>
        <w:pStyle w:val="TextBody"/>
        <w:bidi w:val="0"/>
        <w:spacing w:lineRule="auto" w:line="288" w:before="120" w:after="283"/>
        <w:ind w:left="0" w:right="0" w:firstLine="540"/>
        <w:jc w:val="both"/>
        <w:rPr>
          <w:rFonts w:ascii="Times New Roman;serif" w:hAnsi="Times New Roman;serif"/>
          <w:b/>
          <w:color w:val="000000"/>
          <w:sz w:val="20"/>
        </w:rPr>
      </w:pPr>
      <w:r>
        <w:rPr>
          <w:rFonts w:ascii="Times New Roman;serif" w:hAnsi="Times New Roman;serif"/>
          <w:b/>
          <w:color w:val="000000"/>
          <w:sz w:val="20"/>
        </w:rPr>
        <w:t>Foreign Currency Translation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financial statements of the Company’s subsidiary, for which the functional currency is the local currency, is translated into U.S. dollars using the exchange rate at the consolidated balance sheet date for assets and liabilities and a weighted-average exchange rate during the year for revenue, expenses, gains and losses. Translation adjustments are recorded as accumulated other comprehensive income (loss) within shareholders’ equity. Gains or losses from foreign currency transactions are recognized in the condensed consolidated statements of operations. Such transactions resulted in minimal gains or losses for the three months ended March 31, 2026 and 2025.</w:t>
      </w:r>
    </w:p>
    <w:p>
      <w:pPr>
        <w:pStyle w:val="TextBody"/>
        <w:bidi w:val="0"/>
        <w:spacing w:lineRule="auto" w:line="288" w:before="120" w:after="283"/>
        <w:ind w:left="0" w:right="0" w:firstLine="540"/>
        <w:jc w:val="left"/>
        <w:rPr>
          <w:rFonts w:ascii="Times New Roman;serif" w:hAnsi="Times New Roman;serif"/>
          <w:b/>
          <w:color w:val="000000"/>
          <w:sz w:val="20"/>
        </w:rPr>
      </w:pPr>
      <w:r>
        <w:rPr>
          <w:rFonts w:ascii="Times New Roman;serif" w:hAnsi="Times New Roman;serif"/>
          <w:b/>
          <w:color w:val="000000"/>
          <w:sz w:val="20"/>
        </w:rPr>
        <w:t>Cash and Cash Equivalents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Highly liquid investments with insignificant interest rate risk and original maturities of three months or less, when purchased, are classified as cash equivalents. Cash equivalents are composed of money market funds. Cash and cash equivalents that exceed federally insured limits are maintained with financial institutions. The Company has not experienced any losses related to these balances and believes credit risk to be minimal.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22885"/>
                <wp:effectExtent l="0" t="0" r="0" b="0"/>
                <wp:wrapNone/>
                <wp:docPr id="9" name="Frame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120" w:after="283"/>
        <w:ind w:left="0" w:right="0" w:firstLine="540"/>
        <w:jc w:val="both"/>
        <w:rPr>
          <w:rFonts w:ascii="Times New Roman;serif" w:hAnsi="Times New Roman;serif"/>
          <w:b/>
          <w:color w:val="000000"/>
          <w:sz w:val="20"/>
        </w:rPr>
      </w:pPr>
      <w:r>
        <w:rPr>
          <w:rFonts w:ascii="Times New Roman;serif" w:hAnsi="Times New Roman;serif"/>
          <w:b/>
          <w:color w:val="000000"/>
          <w:sz w:val="20"/>
        </w:rPr>
        <w:t>Bitcoin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Bitcoin is included in current assets in the consolidated balance sheets as the Company has the ability to sell it in a highly liquid marketplace, and the sale of Bitcoin is used to fund operating expenses to support operations. Bitcoin is expected to be realized in cash or sold during the Company’s normal operating cycle. Bitcoin held are accounted for as intangible assets with indefinite useful lives. Bitcoin awarded to the Company through its mining activities was included within operating activities on the consolidated statements of cash flows. The proceeds from the sale of Bitcoin are included within operating or investing activities in the consolidated statements of cash flows depending on the length of time the Bitcoin is held. Bitcoin is valued at fair value at the end of each reporting period with changes in fair value recorded in operating expenses in the consolidated statements of operations. The fair value of Bitcoin is measured using the period-end closing price from the Company’s principal market. When Bitcoin is sold, the gains and losses from such transactions are measured as the difference between the cash proceeds and the carrying basis of the Bitcoin as determined on a first in-first out (“FIFO”) basis and are recorded within the same line item, Change in Fair Value of Bitcoin, in the consolidated statements of operations.</w:t>
      </w:r>
    </w:p>
    <w:p>
      <w:pPr>
        <w:pStyle w:val="TextBody"/>
        <w:bidi w:val="0"/>
        <w:spacing w:lineRule="auto" w:line="288" w:before="120" w:after="283"/>
        <w:ind w:left="0" w:right="0" w:firstLine="540"/>
        <w:jc w:val="both"/>
        <w:rPr>
          <w:rFonts w:ascii="Times New Roman;serif" w:hAnsi="Times New Roman;serif"/>
          <w:b/>
          <w:color w:val="000000"/>
          <w:sz w:val="20"/>
        </w:rPr>
      </w:pPr>
      <w:r>
        <w:rPr>
          <w:rFonts w:ascii="Times New Roman;serif" w:hAnsi="Times New Roman;serif"/>
          <w:b/>
          <w:color w:val="000000"/>
          <w:sz w:val="20"/>
        </w:rPr>
        <w:t>Property and Equipment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Property and equipment primarily consists of mining equipment and infrastructure and is stated at cost, including purchase price, shipping and custom fees, and is depreciated using the straight-line method over the estimated useful lives of the assets, generally three years to ten years.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carrying amounts of property and equipment are reviewed when events or changes in circumstances indicate the assets may not be recoverable. If any such indication exists, the fair value of the asset is estimated in order to determine the extent of the impairment loss, if any.</w:t>
      </w:r>
    </w:p>
    <w:p>
      <w:pPr>
        <w:pStyle w:val="TextBody"/>
        <w:bidi w:val="0"/>
        <w:spacing w:lineRule="auto" w:line="288" w:before="120" w:after="283"/>
        <w:ind w:left="0" w:right="0" w:firstLine="540"/>
        <w:jc w:val="both"/>
        <w:rPr>
          <w:rFonts w:ascii="Times New Roman;serif" w:hAnsi="Times New Roman;serif"/>
          <w:b/>
          <w:color w:val="000000"/>
          <w:sz w:val="20"/>
        </w:rPr>
      </w:pPr>
      <w:r>
        <w:rPr>
          <w:rFonts w:ascii="Times New Roman;serif" w:hAnsi="Times New Roman;serif"/>
          <w:b/>
          <w:color w:val="000000"/>
          <w:sz w:val="20"/>
        </w:rPr>
        <w:t>Intangible Assets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intangible assets purchased in a business combination, the estimated fair values of the assets received are used to establish their recorded values. For intangible assets acquired in a non-monetary exchange, the estimated fair values of the assets transferred (or the estimated fair values of the assets received, if more clearly evident) are used to establish their recorded values. Valuation techniques consistent with the market approach, income approach and/or cost approach are used to measure fair value.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Supplier agreements are amortized on a straight-line basis over their economic lives of five years as this method most closely reflects the pattern in which the economic benefits of the assets will be consumed. </w:t>
      </w:r>
    </w:p>
    <w:p>
      <w:pPr>
        <w:pStyle w:val="TextBody"/>
        <w:bidi w:val="0"/>
        <w:spacing w:lineRule="auto" w:line="288" w:before="120" w:after="283"/>
        <w:ind w:left="0" w:right="0" w:firstLine="540"/>
        <w:jc w:val="both"/>
        <w:rPr>
          <w:rFonts w:ascii="Times New Roman;serif" w:hAnsi="Times New Roman;serif"/>
          <w:b/>
          <w:color w:val="000000"/>
          <w:sz w:val="20"/>
        </w:rPr>
      </w:pPr>
      <w:r>
        <w:rPr>
          <w:rFonts w:ascii="Times New Roman;serif" w:hAnsi="Times New Roman;serif"/>
          <w:b/>
          <w:color w:val="000000"/>
          <w:sz w:val="20"/>
        </w:rPr>
        <w:t>Impairment of Intangible Assets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Regular reviews of intangible assets are performed to determine if any event has occurred that may indicate that intangible assets with finite useful lives and other long-lived assets are potentially impaired. Triggering events for impairment reviews may be indicators such as adverse industry or economic trends, restructuring actions, lower projections of profitability, or a sustained decline in the Company's market capitalization. Intangible assets are quantitatively assessed for impairment, if necessary, by comparing their estimated fair values to their carrying values. If the carrying value exceeds the fair value, the difference is recorded as an impairment.</w:t>
      </w:r>
    </w:p>
    <w:p>
      <w:pPr>
        <w:pStyle w:val="TextBody"/>
        <w:bidi w:val="0"/>
        <w:spacing w:lineRule="auto" w:line="288" w:before="120" w:after="283"/>
        <w:ind w:left="0" w:right="0" w:firstLine="540"/>
        <w:jc w:val="both"/>
        <w:rPr>
          <w:rFonts w:ascii="Times New Roman;serif" w:hAnsi="Times New Roman;serif"/>
          <w:b/>
          <w:color w:val="000000"/>
          <w:sz w:val="20"/>
        </w:rPr>
      </w:pPr>
      <w:r>
        <w:rPr>
          <w:rFonts w:ascii="Times New Roman;serif" w:hAnsi="Times New Roman;serif"/>
          <w:b/>
          <w:color w:val="000000"/>
          <w:sz w:val="20"/>
        </w:rPr>
        <w:t>Warrants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Warrants are accounted for as either equity-classified or liability-classified instruments based on an assessment of the warrant’s specific terms and applicable authoritative guidance. Warrants that meet the definition of a derivative financial instrument, and that also meet the equity scope exception criteria, are classified as equity. Equity classified warrants are recorded at their initial fair value and are not subject to fair value remeasurement provided that the criteria for equity classification continues to be met. Warrants that are classified as liabilities are accounted for at fair value, subject to fair value remeasurement at each balance sheet date with changes in fair value recognized in other income, net. The classification of warrants is re-assessed at the end of each reporting period. The fair value of both equity-classified and liability-classified warrants are determined using the Black-Scholes options pricing model (“Black-Scholes model”) which includes Level 3 inputs.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22885"/>
                <wp:effectExtent l="0" t="0" r="0" b="0"/>
                <wp:wrapNone/>
                <wp:docPr id="10" name="Frame1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120" w:after="283"/>
        <w:ind w:left="0" w:right="0" w:firstLine="540"/>
        <w:jc w:val="left"/>
        <w:rPr>
          <w:rFonts w:ascii="Times New Roman;serif" w:hAnsi="Times New Roman;serif"/>
          <w:b/>
          <w:color w:val="000000"/>
          <w:sz w:val="20"/>
        </w:rPr>
      </w:pPr>
      <w:r>
        <w:rPr>
          <w:rFonts w:ascii="Times New Roman;serif" w:hAnsi="Times New Roman;serif"/>
          <w:b/>
          <w:color w:val="000000"/>
          <w:sz w:val="20"/>
        </w:rPr>
        <w:t>Revenue Recognition</w:t>
      </w:r>
    </w:p>
    <w:p>
      <w:pPr>
        <w:pStyle w:val="TextBody"/>
        <w:bidi w:val="0"/>
        <w:spacing w:lineRule="auto" w:line="288" w:before="120" w:after="283"/>
        <w:ind w:left="0" w:right="0" w:firstLine="540"/>
        <w:jc w:val="both"/>
        <w:rPr/>
      </w:pPr>
      <w:r>
        <w:rPr>
          <w:rFonts w:ascii="Times New Roman;serif" w:hAnsi="Times New Roman;serif"/>
          <w:b w:val="false"/>
          <w:color w:val="000000"/>
          <w:sz w:val="20"/>
        </w:rPr>
        <w:t>Revenue is accounted for pursuant to ASU 2014-09, </w:t>
      </w:r>
      <w:r>
        <w:rPr>
          <w:rFonts w:ascii="Times New Roman;serif" w:hAnsi="Times New Roman;serif"/>
          <w:b w:val="false"/>
          <w:i/>
          <w:color w:val="000000"/>
          <w:sz w:val="20"/>
        </w:rPr>
        <w:t>Revenue from Contracts with Customers</w:t>
      </w:r>
      <w:r>
        <w:rPr>
          <w:color w:val="000000"/>
        </w:rPr>
        <w:t> </w:t>
      </w:r>
      <w:r>
        <w:rPr>
          <w:rFonts w:ascii="Times New Roman;serif" w:hAnsi="Times New Roman;serif"/>
          <w:b w:val="false"/>
          <w:color w:val="000000"/>
          <w:sz w:val="20"/>
        </w:rPr>
        <w:t>and all the related amendments (“Topic 606”). Under Topic 606, an entity is required to recognize revenue to depict the transfer of promised goods or services to customers in an amount that reflects the consideration to which the entity expects to be entitled in exchange for those goods or services, and contract consideration will be recognized on a “sell-in basis” or when control of the purchased goods or services transfer to the distributor.</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engaged with Bitcoin mining pool operators, its customers, to provide a service to perform hash calculations for the mining pool operator, which is the Company’s only performance obligation. Providing hash calculation services is an output of the Company’s ordinary activities. The Company has a service agreement with Foundry Digital LLC, a cryptocurrency mining pool operator, to provide a service to perform hash calculations. In exchange for providing the service, the Company is entitled to Full Pay Per Share (“FPPS”), which is a fractional share of the fixed Bitcoin award the mining pool operator receives, plus a fractional share of the transaction fees attached to that blockchain less net Bitcoin fees due to the mining pool operator over the measurement period, as applicable. The pay-outs received are based on the expected value from the block reward plus the transaction fee reward, regardless of whether the mining pool operator successfully records a block to the blockchain.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fractional share is based on a contractual formula, which primarily calculates the hashrate provided to the mining pool as a percentage of total network hashrate and other inputs. The contracts, which are less than 24 hours and continuously renew throughout the day, are terminable at any time by either party without compensation and the Company’s enforceable right to compensation only begins when the Company starts providing the service to the mining pool operator, which begins daily at midnight Universal Time Coordinated (“UTC”). The terms, conditions, and compensation are at the current market rates, and accordingly the renewal option is not a material right. The contract arises at the point that the Company provides hash calculation services to the mining pool operator, which is the beginning of the contract day at midnight UTC time (contract inception), as customer consumption is in tandem with daily earnings of delivery of the service. According to the customer contract, daily earnings are calculated from midnight-to-23:59:59 UTC time, and the payout is made one hour later at 1:00 AM UTC time.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satisfies its performance obligation over time with daily settlement in Bitcoin. The Company’s performance is completed as it transfers the hashrate computations over the continuously renewed contract periods, which are less than 24 hours. The Company has full control of the mining equipment utilized in the mining pool and if the Company determines it will increase or decrease the processing power of its machines and/or fleet (i.e., for repairs or when power costs are excessive) the service provided to the customer will be adjusted.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transaction consideration the Company receives is noncash consideration in the form of Bitcoin, which the Company measures at fair value at contract inception, midnight UTC time. The noncash consideration is variable, since the amount of block reward earned depends on the amount of hash calculation services, the amount of transaction fees awarded, and operator fees over the same period. The Company does not constrain this variable consideration because it is probable that a significant reversal in the amount of revenue recognized from the contract will not occur when the uncertainty is subsequently resolved and recognizes the noncash consideration on the same day that control is transferred, which is the same day as contract inception. The fair value used to calculate the noncash consideration is based on the Bitcoin spot price in the Company’s principal market at the beginning of the day (midnight UTC time) at contract inception. Expenses associated with running the Bitcoin mining operations, such as hosting, operating supplies, utilities, and monitoring services are recorded as cost of revenues.</w:t>
      </w:r>
    </w:p>
    <w:p>
      <w:pPr>
        <w:pStyle w:val="TextBody"/>
        <w:bidi w:val="0"/>
        <w:spacing w:lineRule="auto" w:line="288" w:before="120" w:after="283"/>
        <w:ind w:left="0" w:right="0" w:firstLine="540"/>
        <w:jc w:val="left"/>
        <w:rPr>
          <w:rFonts w:ascii="Times New Roman;serif" w:hAnsi="Times New Roman;serif"/>
          <w:b/>
          <w:color w:val="000000"/>
          <w:sz w:val="20"/>
        </w:rPr>
      </w:pPr>
      <w:r>
        <w:rPr>
          <w:rFonts w:ascii="Times New Roman;serif" w:hAnsi="Times New Roman;serif"/>
          <w:b/>
          <w:color w:val="000000"/>
          <w:sz w:val="20"/>
        </w:rPr>
        <w:t>Comprehensive Income (Loss)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Comprehensive income (loss) and its components encompass all changes in equity other than those arising from transactions with shareholders, including net income (loss) and foreign currency translation adjustments, and is disclosed in the condensed consolidated statements of comprehensive income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22885"/>
                <wp:effectExtent l="0" t="0" r="0" b="0"/>
                <wp:wrapNone/>
                <wp:docPr id="11" name="Frame1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120" w:after="283"/>
        <w:ind w:left="0" w:right="0" w:firstLine="540"/>
        <w:jc w:val="left"/>
        <w:rPr>
          <w:rFonts w:ascii="Times New Roman;serif" w:hAnsi="Times New Roman;serif"/>
          <w:b/>
          <w:color w:val="000000"/>
          <w:sz w:val="20"/>
        </w:rPr>
      </w:pPr>
      <w:r>
        <w:rPr>
          <w:rFonts w:ascii="Times New Roman;serif" w:hAnsi="Times New Roman;serif"/>
          <w:b/>
          <w:color w:val="000000"/>
          <w:sz w:val="20"/>
        </w:rPr>
        <w:t>Concentration Risk</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maintains its cash and cash equivalent balances with three major commercial banks. Deposits held with the financial institutions exceed the amount of insurance provided on such deposits. The Company is exposed to credit risk in the event of a default by the financial institutions holding the cash and cash equivalents to the extent recorded on the consolidated balance sheets. The accounts offered by the custodian of the Company’s Bitcoin are not insured by the Federal Deposit Insurance Corporation (FDIC). There have not been any losses in such accounts.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Revenue is concentrated with one mining pool operator, Foundry Digital LLC, and all Bitcoin resided with one custodian.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is dependent on a small number of Bitcoin mining equipment suppliers to provide a supply of new generation Bitcoin mining machines. The growth in the Company’s business is directly related to increased demand for hosting services and Bitcoin which is dependent in large part on the availability of new generation mining machines offered for sale at a price conducive to profitable Bitcoin mining. As more companies seek to enter the mining industry, the demand for machines may outpace supply and create mining machine equipment shortages. Currently there is not an agreement with suppliers to purchase additional machines, and therefore there is no guarantee that the Company will be able to purchase machines on terms acceptable to it.</w:t>
      </w:r>
    </w:p>
    <w:p>
      <w:pPr>
        <w:pStyle w:val="TextBody"/>
        <w:bidi w:val="0"/>
        <w:spacing w:lineRule="auto" w:line="288" w:before="120" w:after="283"/>
        <w:ind w:left="0" w:right="0" w:firstLine="540"/>
        <w:jc w:val="left"/>
        <w:rPr>
          <w:rFonts w:ascii="Times New Roman;serif" w:hAnsi="Times New Roman;serif"/>
          <w:b/>
          <w:color w:val="000000"/>
          <w:sz w:val="20"/>
        </w:rPr>
      </w:pPr>
      <w:r>
        <w:rPr>
          <w:rFonts w:ascii="Times New Roman;serif" w:hAnsi="Times New Roman;serif"/>
          <w:b/>
          <w:color w:val="000000"/>
          <w:sz w:val="20"/>
        </w:rPr>
        <w:t>Share-based Compensation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Share-based awards, and similar equity instruments, granted to employees, non-employee directors, and consultants are accounted for in accordance with the authoritative guidance for share-based compensation. Share-based compensation award types may include stock options and restricted stock units (“RSUs”), restricted stock awards (“RSAs”), and performance stock units (“PSUs”). Share-based compensation expense is recognized on a straight-lined basis over the requisite service period (usually the vesting period) except for options with graded vesting which is recognized pursuant to an accelerated method. Share-based compensation expense for an award with a performance condition is recognized when the achievement of such performance condition is determined to be probable. If the outcome of such performance condition is not determined to be probable or is not met, no compensation expense is recognized and any previously recognized compensation expense is reversed. Forfeitures are recognized as a reduction of share-based compensation expense as they occur.</w:t>
      </w:r>
    </w:p>
    <w:p>
      <w:pPr>
        <w:pStyle w:val="TextBody"/>
        <w:bidi w:val="0"/>
        <w:spacing w:lineRule="auto" w:line="288" w:before="120" w:after="283"/>
        <w:ind w:left="0" w:right="0" w:firstLine="540"/>
        <w:jc w:val="both"/>
        <w:rPr>
          <w:rFonts w:ascii="Times New Roman;serif" w:hAnsi="Times New Roman;serif"/>
          <w:b/>
          <w:color w:val="000000"/>
          <w:sz w:val="20"/>
        </w:rPr>
      </w:pPr>
      <w:r>
        <w:rPr>
          <w:rFonts w:ascii="Times New Roman;serif" w:hAnsi="Times New Roman;serif"/>
          <w:b/>
          <w:color w:val="000000"/>
          <w:sz w:val="20"/>
        </w:rPr>
        <w:t>Operating Segment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Operating segments are defined as components of an enterprise about which separate financial information is available that is evaluated regularly by the chief operating decision maker (“CODM”), or decision–making group, in deciding how to allocate resources and assess performance. The Company’s CODM is the Chief Executive Officer. The Company operates as one operating segment and uses net income or loss as a measure of profit or loss on a consolidated basis in making decisions regarding resource allocation and performance assessment. Additionally, the CODM regularly reviews the Company’s expenses on a consolidated basis. The financial metrics used by the CODM help make key operating decisions, such as determination of capital expenditure purchases and significant acquisitions and allocation of budget between cost of revenues and general and administrative expenses. The measure of segment assets is reported on the consolidated balance sheet as total consolidated assets. The significant expense categories regularly provided to the CODM include cost of revenue, general and administrative expenses, depreciation and amortization, impairment of property and equipment, and change in fair value of Bitcoin. These expense categories are reported as separate line items in the consolidated statements of operations. </w:t>
      </w:r>
    </w:p>
    <w:p>
      <w:pPr>
        <w:pStyle w:val="TextBody"/>
        <w:bidi w:val="0"/>
        <w:spacing w:lineRule="auto" w:line="288" w:before="120" w:after="283"/>
        <w:ind w:left="0" w:right="0" w:firstLine="450"/>
        <w:jc w:val="left"/>
        <w:rPr>
          <w:rFonts w:ascii="Times New Roman;serif" w:hAnsi="Times New Roman;serif"/>
          <w:b/>
          <w:color w:val="000000"/>
          <w:sz w:val="20"/>
        </w:rPr>
      </w:pPr>
      <w:r>
        <w:rPr>
          <w:rFonts w:ascii="Times New Roman;serif" w:hAnsi="Times New Roman;serif"/>
          <w:b/>
          <w:color w:val="000000"/>
          <w:sz w:val="20"/>
        </w:rPr>
        <w:t>Recently Issued Accounting Pronouncements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From time to time, new accounting pronouncements are issued by the Financial Accounting Standards Board (“FASB”) that are adopted by the Company as of the specified effective date. If not discussed, the Company believes that the impact of recently issued standards, which are not yet effective, will not have a material impact on the Company’s consolidated financial statements upon adoption.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22885"/>
                <wp:effectExtent l="0" t="0" r="0" b="0"/>
                <wp:wrapNone/>
                <wp:docPr id="12" name="Frame1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120" w:after="283"/>
        <w:ind w:left="0" w:right="0" w:firstLine="495"/>
        <w:jc w:val="both"/>
        <w:rPr/>
      </w:pPr>
      <w:r>
        <w:rPr>
          <w:rFonts w:ascii="Times New Roman;serif" w:hAnsi="Times New Roman;serif"/>
          <w:b w:val="false"/>
          <w:color w:val="000000"/>
          <w:sz w:val="20"/>
        </w:rPr>
        <w:t xml:space="preserve">In September 2025, the FASB issued accounting standards update (“ASU”) No. 2025-07, </w:t>
      </w:r>
      <w:r>
        <w:rPr>
          <w:rFonts w:ascii="Times New Roman;serif" w:hAnsi="Times New Roman;serif"/>
          <w:b w:val="false"/>
          <w:i/>
          <w:color w:val="000000"/>
          <w:sz w:val="20"/>
        </w:rPr>
        <w:t>Derivatives and Hedging (Topic 815) and Revenue from Contracts with Customers (Topic 606): Scope Clarification and Accounting for Certain Contracts and Customer Share-Based Consideration</w:t>
      </w:r>
      <w:r>
        <w:rPr>
          <w:color w:val="000000"/>
        </w:rPr>
        <w:t xml:space="preserve"> </w:t>
      </w:r>
      <w:r>
        <w:rPr>
          <w:rFonts w:ascii="Times New Roman;serif" w:hAnsi="Times New Roman;serif"/>
          <w:b w:val="false"/>
          <w:color w:val="000000"/>
          <w:sz w:val="20"/>
        </w:rPr>
        <w:t>(“ASU 2025-07”), which narrows the types of contracts subject to derivative accounting by excluding those whose payouts depend solely on an entity’s own operational metrics, rather than market-based variables, and clarifies that share-based or warrant consideration received from a customer is accounted for under Topic 606 until the right to retain the instrument is unconditional, after which the guidance in Topic 815 and 321 applies. The amendments are effective for annual periods beginning after December 15, 2026, which early adoption permitted, and may be applied prospectively or on a modified retrospective basis with an option to elect or revoke the fair value option for certain instruments upon transition. The Company is currently evaluating the impact of ASU 2025-07 but does not expect it to have a material effect on its consolidated financial statements.</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In May 2025, the FASB issued ASU 2025-03, </w:t>
      </w:r>
      <w:r>
        <w:rPr>
          <w:rFonts w:ascii="Times New Roman;serif" w:hAnsi="Times New Roman;serif"/>
          <w:b w:val="false"/>
          <w:i/>
          <w:color w:val="000000"/>
          <w:sz w:val="20"/>
        </w:rPr>
        <w:t>Business Combinations (Topic 805) and Consolidation (Topic 810): Determining the Accounting Acquirer in the Acquisition of a Variable Interest Entity</w:t>
      </w:r>
      <w:r>
        <w:rPr>
          <w:rFonts w:ascii="Times New Roman;serif" w:hAnsi="Times New Roman;serif"/>
          <w:b w:val="false"/>
          <w:color w:val="000000"/>
          <w:sz w:val="20"/>
        </w:rPr>
        <w:t>, which amends existing guidance to allow entities to apply the same principles used in other business combinations when determining the accounting acquirer in a transaction involving a variable interest entity (VIE) that is a business and where consideration is primarily in the form of equity interests. This update addresses comparability concerns and provides for more consistent application of acquisition accounting principles. The amendments are effective for annual periods beginning after December 15, 2026, and interim periods within those years, with early adoption permitted. The Company is currently assessing the potential impact of the standard but does not anticipate that it will have a material impact on its consolidated financial statements.</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In May 2025, the FASB also issued ASU 2025-04, </w:t>
      </w:r>
      <w:r>
        <w:rPr>
          <w:rFonts w:ascii="Times New Roman;serif" w:hAnsi="Times New Roman;serif"/>
          <w:b w:val="false"/>
          <w:i/>
          <w:color w:val="000000"/>
          <w:sz w:val="20"/>
        </w:rPr>
        <w:t>Compensation—Stock Compensation (Topic 718) and Revenue from Contracts with Customers (Topic 606): Clarifications to Share-Based Consideration Payable to a Customer</w:t>
      </w:r>
      <w:r>
        <w:rPr>
          <w:rFonts w:ascii="Times New Roman;serif" w:hAnsi="Times New Roman;serif"/>
          <w:b w:val="false"/>
          <w:color w:val="000000"/>
          <w:sz w:val="20"/>
        </w:rPr>
        <w:t>, to address diversity in practice and improve the operability of accounting for share-based consideration granted to customers. The amendments clarify how to distinguish between service and performance conditions for vesting, require entities to estimate forfeitures for all share-based consideration payable to customers, and specify that variable consideration guidance in ASC 606 does not apply when measuring such awards. The guidance is effective for fiscal years beginning after December 15, 2026, with early adoption permitted. The Company is currently evaluating the impact of this standard on its financial statements but does not expect it to have a material impact on its consolidated financial statements.</w:t>
      </w:r>
    </w:p>
    <w:p>
      <w:pPr>
        <w:pStyle w:val="TextBody"/>
        <w:bidi w:val="0"/>
        <w:spacing w:lineRule="auto" w:line="288" w:before="120" w:after="283"/>
        <w:ind w:left="0" w:right="0" w:firstLine="495"/>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Statement—Reporting Comprehensive Income—Expense Disaggregation Disclosures (Subtopic 220-40): Disaggregation of Income Statement Expenses</w:t>
      </w:r>
      <w:r>
        <w:rPr>
          <w:rFonts w:ascii="Times New Roman;serif" w:hAnsi="Times New Roman;serif"/>
          <w:b w:val="false"/>
          <w:color w:val="000000"/>
          <w:sz w:val="20"/>
        </w:rPr>
        <w:t>. The guidance is to improve the disclosure of expenses in commonly presented expense captions. The new guidance requires a public entity to provide tabular disclosure, on an annual and interim basis, of amounts for the following expense categories: (1) purchases of inventory, (2) employee compensation, (3) depreciation and (4) intangible asset amortization, as included in each relevant expense caption. A relevant expense caption is an expense caption presented on the face of the income statement that contains any of the expense categories noted. The guidance is effective for 2027 annual reporting, and in the first quarter of 2028 for interim reporting, with early adoption permitted, to be applied on a prospective basis, with retrospective application permitted. The Company will adopt the guidance when it becomes effective, in its 2027 annual reporting and each quarter thereafter, on a prospective basis. The Company is evaluating the impact the updated guidance will have on its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3.Fair Value Measurements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authoritative guidance for fair value measurements establishes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22885"/>
                <wp:effectExtent l="0" t="0" r="0" b="0"/>
                <wp:wrapNone/>
                <wp:docPr id="13" name="Frame1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Assets and Liabilities that are Measured at Fair Value on a Recurring Basis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Financial instruments include cash equivalents, Bitcoin, accounts payable, and accrued liabilities. Fair value estimates of these instruments are made at a specific point in time, based on relevant market information. These estimates may be subjective in nature and involve uncertainties and matters of significant judgment and therefore cannot be determined with precision. The carrying amount of cash equivalents, accounts payable and accrued liabilities are generally considered to be representative of their respective fair values because of the short-term nature of those instruments.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tables provide a summary of the assets that are measured at fair value on a recurring basis (in thousands):</w:t>
      </w:r>
    </w:p>
    <w:tbl>
      <w:tblPr>
        <w:tblW w:w="5086" w:type="dxa"/>
        <w:jc w:val="center"/>
        <w:tblInd w:w="0" w:type="dxa"/>
        <w:tblLayout w:type="fixed"/>
        <w:tblCellMar>
          <w:top w:w="28" w:type="dxa"/>
          <w:left w:w="28" w:type="dxa"/>
          <w:bottom w:w="28" w:type="dxa"/>
          <w:right w:w="28" w:type="dxa"/>
        </w:tblCellMar>
      </w:tblPr>
      <w:tblGrid>
        <w:gridCol w:w="265"/>
        <w:gridCol w:w="234"/>
        <w:gridCol w:w="237"/>
        <w:gridCol w:w="211"/>
        <w:gridCol w:w="616"/>
        <w:gridCol w:w="109"/>
        <w:gridCol w:w="109"/>
        <w:gridCol w:w="109"/>
        <w:gridCol w:w="109"/>
        <w:gridCol w:w="211"/>
        <w:gridCol w:w="616"/>
        <w:gridCol w:w="109"/>
        <w:gridCol w:w="109"/>
        <w:gridCol w:w="109"/>
        <w:gridCol w:w="109"/>
        <w:gridCol w:w="211"/>
        <w:gridCol w:w="406"/>
        <w:gridCol w:w="109"/>
        <w:gridCol w:w="109"/>
        <w:gridCol w:w="109"/>
        <w:gridCol w:w="109"/>
        <w:gridCol w:w="211"/>
        <w:gridCol w:w="406"/>
        <w:gridCol w:w="154"/>
      </w:tblGrid>
      <w:tr>
        <w:trPr/>
        <w:tc>
          <w:tcPr>
            <w:tcW w:w="26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7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Bitcoin</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bl>
    <w:tbl>
      <w:tblPr>
        <w:tblW w:w="5086" w:type="dxa"/>
        <w:jc w:val="center"/>
        <w:tblInd w:w="0" w:type="dxa"/>
        <w:tblLayout w:type="fixed"/>
        <w:tblCellMar>
          <w:top w:w="28" w:type="dxa"/>
          <w:left w:w="28" w:type="dxa"/>
          <w:bottom w:w="28" w:type="dxa"/>
          <w:right w:w="28" w:type="dxa"/>
        </w:tblCellMar>
      </w:tblPr>
      <w:tblGrid>
        <w:gridCol w:w="265"/>
        <w:gridCol w:w="234"/>
        <w:gridCol w:w="237"/>
        <w:gridCol w:w="211"/>
        <w:gridCol w:w="616"/>
        <w:gridCol w:w="109"/>
        <w:gridCol w:w="109"/>
        <w:gridCol w:w="109"/>
        <w:gridCol w:w="109"/>
        <w:gridCol w:w="211"/>
        <w:gridCol w:w="616"/>
        <w:gridCol w:w="109"/>
        <w:gridCol w:w="109"/>
        <w:gridCol w:w="109"/>
        <w:gridCol w:w="109"/>
        <w:gridCol w:w="211"/>
        <w:gridCol w:w="406"/>
        <w:gridCol w:w="109"/>
        <w:gridCol w:w="109"/>
        <w:gridCol w:w="109"/>
        <w:gridCol w:w="109"/>
        <w:gridCol w:w="211"/>
        <w:gridCol w:w="406"/>
        <w:gridCol w:w="154"/>
      </w:tblGrid>
      <w:tr>
        <w:trPr/>
        <w:tc>
          <w:tcPr>
            <w:tcW w:w="26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Bitcoin</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3,263 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3,263 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 xml:space="preserve">Assets and Liabilities that are Measured at Fair Value on a Nonrecurring Basis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Non-financial assets such as property and equipment and intangible assets are recorded at fair value when an impairment is recognized or at the time acquired in an asset acquisition or business combination measured using significant unobservable inputs (Level 3). For the three months ended March 31, 2026 and 2025, there were no impairments recognized.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4.Bitcoin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activities of Bitcoin (in thousands):</w:t>
      </w:r>
    </w:p>
    <w:tbl>
      <w:tblPr>
        <w:tblW w:w="4401" w:type="dxa"/>
        <w:jc w:val="center"/>
        <w:tblInd w:w="0" w:type="dxa"/>
        <w:tblLayout w:type="fixed"/>
        <w:tblCellMar>
          <w:top w:w="28" w:type="dxa"/>
          <w:left w:w="28" w:type="dxa"/>
          <w:bottom w:w="28" w:type="dxa"/>
          <w:right w:w="28" w:type="dxa"/>
        </w:tblCellMar>
      </w:tblPr>
      <w:tblGrid>
        <w:gridCol w:w="1240"/>
        <w:gridCol w:w="1086"/>
        <w:gridCol w:w="1094"/>
        <w:gridCol w:w="211"/>
        <w:gridCol w:w="616"/>
        <w:gridCol w:w="154"/>
      </w:tblGrid>
      <w:tr>
        <w:trPr/>
        <w:tc>
          <w:tcPr>
            <w:tcW w:w="1240"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 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 from Bitcoin mined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Bitcoin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Bitcoin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2026</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Bitcoin holdings (in thousands except for number of Bitcoin):</w:t>
      </w:r>
    </w:p>
    <w:tbl>
      <w:tblPr>
        <w:tblW w:w="4562" w:type="dxa"/>
        <w:jc w:val="left"/>
        <w:tblInd w:w="0" w:type="dxa"/>
        <w:tblLayout w:type="fixed"/>
        <w:tblCellMar>
          <w:top w:w="28" w:type="dxa"/>
          <w:left w:w="28" w:type="dxa"/>
          <w:bottom w:w="28" w:type="dxa"/>
          <w:right w:w="28" w:type="dxa"/>
        </w:tblCellMar>
      </w:tblPr>
      <w:tblGrid>
        <w:gridCol w:w="781"/>
        <w:gridCol w:w="688"/>
        <w:gridCol w:w="690"/>
        <w:gridCol w:w="211"/>
        <w:gridCol w:w="616"/>
        <w:gridCol w:w="109"/>
        <w:gridCol w:w="109"/>
        <w:gridCol w:w="109"/>
        <w:gridCol w:w="109"/>
        <w:gridCol w:w="245"/>
        <w:gridCol w:w="716"/>
        <w:gridCol w:w="179"/>
      </w:tblGrid>
      <w:tr>
        <w:trPr/>
        <w:tc>
          <w:tcPr>
            <w:tcW w:w="78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Bitcoin held</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w:t>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Carrying basis of Bitcoin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March 31, 2026 and 2025, the Company had a realized loss on the sale of Bitcoin of $1.0 million and $0.1 million,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22885"/>
                <wp:effectExtent l="0" t="0" r="0" b="0"/>
                <wp:wrapNone/>
                <wp:docPr id="14" name="Frame1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All additions of Bitcoin were generated by the Company’s Bitcoin mining operations. All dispositions of Bitcoin were the result of sales on the open market and used to fund operations. Bitcoin holdings are not subject to sale restrictions and do not serve as collateral for any agreements. As of March 31, 2026 and December 31, 2025, the Company held no other cryptocurrency.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5.    Note Receivable</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Rainmaker Promissory Note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September 2020, the Company entered into a Senior Secured Convertible Promissory Note with Rainmaker Worldwide Inc. (the “Rainmaker Note”). The Rainmaker Note is secured as a registered lien under the Uniform Commercial Code and the Personal Property Security Act (Ontario) against the assets of Rainmaker. In January 2025, the Company and Rainmaker entered into Amendment No. 4 to the Rainmaker Note and the principal amount was revised to $4.6 million and the due date was extended to January 14, 2026.</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January 2026, the Company and Rainmaker entered into a settlement agreement to the Rainmaker Note and both parties agreed the outstanding amount would be settled by a one-time payment of $0.5 million by February 27, 2026 (the “Settlement Date”). Such payment was not received by the Settlement Date, and based on the settlement agreement, the amount increases by $50,000 the first business day of each month following the Settlement Date. All amounts related to the Rainmaker Note have been fully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6.    Certain Balance Sheet Items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other current assets (in thousands): </w:t>
      </w:r>
    </w:p>
    <w:tbl>
      <w:tblPr>
        <w:tblW w:w="5147" w:type="dxa"/>
        <w:jc w:val="center"/>
        <w:tblInd w:w="0" w:type="dxa"/>
        <w:tblLayout w:type="fixed"/>
        <w:tblCellMar>
          <w:top w:w="28" w:type="dxa"/>
          <w:left w:w="28" w:type="dxa"/>
          <w:bottom w:w="28" w:type="dxa"/>
          <w:right w:w="28" w:type="dxa"/>
        </w:tblCellMar>
      </w:tblPr>
      <w:tblGrid>
        <w:gridCol w:w="993"/>
        <w:gridCol w:w="872"/>
        <w:gridCol w:w="879"/>
        <w:gridCol w:w="211"/>
        <w:gridCol w:w="616"/>
        <w:gridCol w:w="109"/>
        <w:gridCol w:w="109"/>
        <w:gridCol w:w="109"/>
        <w:gridCol w:w="109"/>
        <w:gridCol w:w="245"/>
        <w:gridCol w:w="716"/>
        <w:gridCol w:w="179"/>
      </w:tblGrid>
      <w:tr>
        <w:trPr/>
        <w:tc>
          <w:tcPr>
            <w:tcW w:w="993"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Bitcoin mining hosting deposits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insurance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mining hosting services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services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property and equipment, net (in thousands):</w:t>
      </w:r>
    </w:p>
    <w:tbl>
      <w:tblPr>
        <w:tblW w:w="4921" w:type="dxa"/>
        <w:jc w:val="center"/>
        <w:tblInd w:w="0" w:type="dxa"/>
        <w:tblLayout w:type="fixed"/>
        <w:tblCellMar>
          <w:top w:w="28" w:type="dxa"/>
          <w:left w:w="28" w:type="dxa"/>
          <w:bottom w:w="28" w:type="dxa"/>
          <w:right w:w="28" w:type="dxa"/>
        </w:tblCellMar>
      </w:tblPr>
      <w:tblGrid>
        <w:gridCol w:w="875"/>
        <w:gridCol w:w="766"/>
        <w:gridCol w:w="773"/>
        <w:gridCol w:w="211"/>
        <w:gridCol w:w="721"/>
        <w:gridCol w:w="109"/>
        <w:gridCol w:w="109"/>
        <w:gridCol w:w="109"/>
        <w:gridCol w:w="109"/>
        <w:gridCol w:w="221"/>
        <w:gridCol w:w="757"/>
        <w:gridCol w:w="161"/>
      </w:tblGrid>
      <w:tr>
        <w:trPr/>
        <w:tc>
          <w:tcPr>
            <w:tcW w:w="87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Mining equipment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24,019 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Infrastructure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25,535 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14,608 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Depreciation expense for property and equipment was $0.8 million and $1.2 million for the three months ended March 31, 2026 and 2025, respectively.</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Mining Equipment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2026, the Company completed the sale of older generation mining equipment not in service for proceeds of $1.2 million, which was applied to the purchase of new mining equipment.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22885"/>
                <wp:effectExtent l="0" t="0" r="0" b="0"/>
                <wp:wrapNone/>
                <wp:docPr id="15" name="Frame1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7.    Intangible Assets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intangible assets, net (in thousands):</w:t>
      </w:r>
    </w:p>
    <w:tbl>
      <w:tblPr>
        <w:tblW w:w="4787" w:type="dxa"/>
        <w:jc w:val="center"/>
        <w:tblInd w:w="0" w:type="dxa"/>
        <w:tblLayout w:type="fixed"/>
        <w:tblCellMar>
          <w:top w:w="28" w:type="dxa"/>
          <w:left w:w="28" w:type="dxa"/>
          <w:bottom w:w="28" w:type="dxa"/>
          <w:right w:w="28" w:type="dxa"/>
        </w:tblCellMar>
      </w:tblPr>
      <w:tblGrid>
        <w:gridCol w:w="826"/>
        <w:gridCol w:w="726"/>
        <w:gridCol w:w="728"/>
        <w:gridCol w:w="211"/>
        <w:gridCol w:w="721"/>
        <w:gridCol w:w="109"/>
        <w:gridCol w:w="109"/>
        <w:gridCol w:w="109"/>
        <w:gridCol w:w="109"/>
        <w:gridCol w:w="221"/>
        <w:gridCol w:w="757"/>
        <w:gridCol w:w="161"/>
      </w:tblGrid>
      <w:tr>
        <w:trPr/>
        <w:tc>
          <w:tcPr>
            <w:tcW w:w="8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Supplier agreements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37,525 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(35,915)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Amortization expense for intangible assets was $0.4 million for both the three months ended March 31, 2026 and 2025.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Estimated amortization expense for intangible assets is approximately $1.1 million for the remainder of 2026 and $0.1 million in fiscal year 2027.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8.Preferred Shares</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Series H Preferred Shares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On October 1, 2021, the Company filed articles of amendment to create a series of preferred shares, being, an unlimited number of Series H Preferred Shares and to provide for the rights, privileges, restrictions and conditions attaching thereto. The Series H Preferred Shares are convertible provided (and only if and to the extent) that prior shareholder approval of the issuance of all Sphere 3D common shares issuable upon conversion of the Series H Preferred Shares has been obtained in accordance with the rules of Nasdaq, at any time from time to time, at the option of the holder thereof, into 14.286 Sphere 3D common shares for every Series H Preferred Share. Each holder of the Series H Preferred Shares, may, subject to prior shareholder approval, convert all or any part of the Series H Preferred Shares provided that after such conversion the common shares issuable, together with all the common shares held by the shareholder in the aggregate would not exceed 9.99% of the total number of outstanding common shares of the Company. Each Series H Preferred Share has a stated value of $1,000. The Series H Preferred Shares</w:t>
      </w:r>
      <w:r>
        <w:rPr>
          <w:color w:val="000000"/>
          <w:shd w:fill="FFFFFF" w:val="clear"/>
        </w:rPr>
        <w:t xml:space="preserve"> </w:t>
      </w:r>
      <w:r>
        <w:rPr>
          <w:rFonts w:ascii="Times New Roman;serif" w:hAnsi="Times New Roman;serif"/>
          <w:b w:val="false"/>
          <w:color w:val="000000"/>
          <w:sz w:val="20"/>
          <w:shd w:fill="FFFFFF" w:val="clear"/>
        </w:rPr>
        <w:t>are non-voting and</w:t>
      </w:r>
      <w:r>
        <w:rPr>
          <w:color w:val="000000"/>
        </w:rPr>
        <w:t xml:space="preserve"> </w:t>
      </w:r>
      <w:r>
        <w:rPr>
          <w:rFonts w:ascii="Times New Roman;serif" w:hAnsi="Times New Roman;serif"/>
          <w:b w:val="false"/>
          <w:color w:val="000000"/>
          <w:sz w:val="20"/>
        </w:rPr>
        <w:t>do not accrue dividends. These features include, in the event of the liquidation, dissolution or winding-up of the Company, whether voluntary or involuntary, deemed liquidation or any other distribution of the assets of the Company among its shareholders for the purpose of winding-up its affairs, the Series H Preferred Shares shall entitle each of the holders thereof to receive an amount equal to the Series H subscription price per Series H Preferred Share, as defined in the agreement, to be paid before any amount is paid or any assets of the Company are distributed to the holders of its common shares.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accordance with the authoritative guidance for distinguishing liabilities from equity, the Company has determined that its Series H preferred shares carry certain redemption features beyond the control of the Company. Accordingly, the Series H Preferred Shares are presented as temporary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9.Share Capital</w:t>
      </w:r>
    </w:p>
    <w:p>
      <w:pPr>
        <w:pStyle w:val="TextBody"/>
        <w:bidi w:val="0"/>
        <w:spacing w:lineRule="auto" w:line="288" w:before="10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At-the-Market Offering Program</w:t>
      </w:r>
    </w:p>
    <w:p>
      <w:pPr>
        <w:pStyle w:val="TextBody"/>
        <w:bidi w:val="0"/>
        <w:spacing w:lineRule="auto" w:line="288" w:before="1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January 3, 2025, the Company entered into a sales agreement (the “ATM Agreement”) with A.G.P./Alliance Global Partners (the “Sales Agent”). In accordance with the terms of the ATM Agreement, the Company may offer and sell from time to time through or to the Sales Agent, as agent or principal, the Company's common shares having an aggregate offering price of up to $8.0 million (the “Placement Shares”). The ATM Agreement can be terminated by either party by giving two days written notice.</w:t>
      </w:r>
    </w:p>
    <w:p>
      <w:pPr>
        <w:pStyle w:val="TextBody"/>
        <w:bidi w:val="0"/>
        <w:spacing w:lineRule="auto" w:line="288" w:before="1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Neither the Company nor the Sales Agent are obligated to sell any Placement Shares pursuant to the ATM Agreement. Subject to the terms and conditions of the ATM Agreement, the Sales Agent will use commercially reasonable efforts, consistent with its normal trading and sales practices and applicable state and federal law, rules and regulations and the rules of Nasdaq, to sell the Placement Shares from time to time based upon the Company’s instructions, including any price, time or size limits or other customary parameters or conditions the Company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22885"/>
                <wp:effectExtent l="0" t="0" r="0" b="0"/>
                <wp:wrapNone/>
                <wp:docPr id="16" name="Frame1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impose. Sales of the Placement Shares, if any, will be made on Nasdaq at market prices by any method permitted by law deemed to be an “at the market offering” as defined in Rule 415 of the Securities Act of 1933, as amended. For the three months ended March 31, 2026 and 2025, under the ATM Agreement the Company issued 256,142 and 21,045 common shares, respectively, for $0.4 million and $0.1 million of net proceeds, respectively.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Unlimited authorized shares of common shares at no par value are available to the Company. At March 31, 2026, the following table summarizes outstanding warrants to purchase common shares:</w:t>
      </w:r>
    </w:p>
    <w:tbl>
      <w:tblPr>
        <w:tblW w:w="8925" w:type="dxa"/>
        <w:jc w:val="center"/>
        <w:tblInd w:w="0" w:type="dxa"/>
        <w:tblLayout w:type="fixed"/>
        <w:tblCellMar>
          <w:top w:w="28" w:type="dxa"/>
          <w:left w:w="28" w:type="dxa"/>
          <w:bottom w:w="28" w:type="dxa"/>
          <w:right w:w="28" w:type="dxa"/>
        </w:tblCellMar>
      </w:tblPr>
      <w:tblGrid>
        <w:gridCol w:w="521"/>
        <w:gridCol w:w="457"/>
        <w:gridCol w:w="462"/>
        <w:gridCol w:w="109"/>
        <w:gridCol w:w="109"/>
        <w:gridCol w:w="109"/>
        <w:gridCol w:w="604"/>
        <w:gridCol w:w="604"/>
        <w:gridCol w:w="606"/>
        <w:gridCol w:w="109"/>
        <w:gridCol w:w="109"/>
        <w:gridCol w:w="109"/>
        <w:gridCol w:w="369"/>
        <w:gridCol w:w="369"/>
        <w:gridCol w:w="371"/>
        <w:gridCol w:w="109"/>
        <w:gridCol w:w="109"/>
        <w:gridCol w:w="109"/>
        <w:gridCol w:w="529"/>
        <w:gridCol w:w="529"/>
        <w:gridCol w:w="531"/>
        <w:gridCol w:w="109"/>
        <w:gridCol w:w="109"/>
        <w:gridCol w:w="109"/>
        <w:gridCol w:w="485"/>
        <w:gridCol w:w="485"/>
        <w:gridCol w:w="695"/>
      </w:tblGrid>
      <w:tr>
        <w:trPr/>
        <w:tc>
          <w:tcPr>
            <w:tcW w:w="521"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Date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Contractual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Expiration</w:t>
            </w:r>
          </w:p>
        </w:tc>
      </w:tr>
      <w:tr>
        <w:trPr/>
        <w:tc>
          <w:tcPr>
            <w:tcW w:w="14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$665.00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142,955 </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8, 2026</w:t>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7, 2027</w:t>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1,429 </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7, 2027</w:t>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7, 2027</w:t>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7,356 </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17, 2026</w:t>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11, 2026</w:t>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216,293 </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23, 2026</w:t>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873,643 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15, 2031</w:t>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1,324,534 </w:t>
            </w:r>
          </w:p>
        </w:tc>
        <w:tc>
          <w:tcPr>
            <w:tcW w:w="5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10.Equity Incentive Plan</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Stock Options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of option awards are estimated on the date of grant using the Black-Scholes model. Expected volatility was based on historical volatility of the Company’s common shares. The expected term of options granted was based on the simplified method. The risk-free interest rate was based on the U.S. Treasury yield for a period consistent with the expected term of the option in effect at the time of the grant. The dividend yield assumption was based on the expectation of no future dividend payments. Option awards can be granted for a maximum term of up to 10 years. There were no options granted for the three months ended March 31, 2026 and 2025.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option activity:</w:t>
      </w:r>
    </w:p>
    <w:tbl>
      <w:tblPr>
        <w:tblW w:w="9654" w:type="dxa"/>
        <w:jc w:val="center"/>
        <w:tblInd w:w="0" w:type="dxa"/>
        <w:tblLayout w:type="fixed"/>
        <w:tblCellMar>
          <w:top w:w="28" w:type="dxa"/>
          <w:left w:w="28" w:type="dxa"/>
          <w:bottom w:w="28" w:type="dxa"/>
          <w:right w:w="28" w:type="dxa"/>
        </w:tblCellMar>
      </w:tblPr>
      <w:tblGrid>
        <w:gridCol w:w="1434"/>
        <w:gridCol w:w="1261"/>
        <w:gridCol w:w="1264"/>
        <w:gridCol w:w="484"/>
        <w:gridCol w:w="484"/>
        <w:gridCol w:w="486"/>
        <w:gridCol w:w="109"/>
        <w:gridCol w:w="109"/>
        <w:gridCol w:w="109"/>
        <w:gridCol w:w="211"/>
        <w:gridCol w:w="721"/>
        <w:gridCol w:w="109"/>
        <w:gridCol w:w="109"/>
        <w:gridCol w:w="109"/>
        <w:gridCol w:w="109"/>
        <w:gridCol w:w="349"/>
        <w:gridCol w:w="349"/>
        <w:gridCol w:w="351"/>
        <w:gridCol w:w="109"/>
        <w:gridCol w:w="109"/>
        <w:gridCol w:w="109"/>
        <w:gridCol w:w="319"/>
        <w:gridCol w:w="616"/>
        <w:gridCol w:w="235"/>
      </w:tblGrid>
      <w:tr>
        <w:trPr/>
        <w:tc>
          <w:tcPr>
            <w:tcW w:w="143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br/>
              <w:t>Subject to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Remaining</w:t>
              <w:br/>
              <w:t>Contractual</w:t>
              <w:br/>
              <w:t>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Aggregate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Intrinsic</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Value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outstanding — January 1, 2026</w:t>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56,586 </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(8,035)</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outstanding — March 31, 2026</w:t>
            </w:r>
          </w:p>
        </w:tc>
        <w:tc>
          <w:tcPr>
            <w:tcW w:w="9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48,551 </w:t>
            </w:r>
          </w:p>
        </w:tc>
        <w:tc>
          <w:tcPr>
            <w:tcW w:w="4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expected to vest — March 31, 2026</w:t>
            </w:r>
          </w:p>
        </w:tc>
        <w:tc>
          <w:tcPr>
            <w:tcW w:w="96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48,551 </w:t>
            </w:r>
          </w:p>
        </w:tc>
        <w:tc>
          <w:tcPr>
            <w:tcW w:w="48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 March 31, 2026</w:t>
            </w:r>
          </w:p>
        </w:tc>
        <w:tc>
          <w:tcPr>
            <w:tcW w:w="968"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33,601 </w:t>
            </w:r>
          </w:p>
        </w:tc>
        <w:tc>
          <w:tcPr>
            <w:tcW w:w="48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22885"/>
                <wp:effectExtent l="0" t="0" r="0" b="0"/>
                <wp:wrapNone/>
                <wp:docPr id="17" name="Frame1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Restricted Stock Units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RSU activity:</w:t>
      </w:r>
    </w:p>
    <w:tbl>
      <w:tblPr>
        <w:tblW w:w="7210" w:type="dxa"/>
        <w:jc w:val="center"/>
        <w:tblInd w:w="0" w:type="dxa"/>
        <w:tblLayout w:type="fixed"/>
        <w:tblCellMar>
          <w:top w:w="28" w:type="dxa"/>
          <w:left w:w="28" w:type="dxa"/>
          <w:bottom w:w="28" w:type="dxa"/>
          <w:right w:w="28" w:type="dxa"/>
        </w:tblCellMar>
      </w:tblPr>
      <w:tblGrid>
        <w:gridCol w:w="1272"/>
        <w:gridCol w:w="1116"/>
        <w:gridCol w:w="1122"/>
        <w:gridCol w:w="413"/>
        <w:gridCol w:w="413"/>
        <w:gridCol w:w="296"/>
        <w:gridCol w:w="109"/>
        <w:gridCol w:w="109"/>
        <w:gridCol w:w="109"/>
        <w:gridCol w:w="449"/>
        <w:gridCol w:w="1089"/>
        <w:gridCol w:w="232"/>
        <w:gridCol w:w="109"/>
        <w:gridCol w:w="109"/>
        <w:gridCol w:w="109"/>
        <w:gridCol w:w="154"/>
      </w:tblGrid>
      <w:tr>
        <w:trPr/>
        <w:tc>
          <w:tcPr>
            <w:tcW w:w="1272"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w:t>
              <w:br/>
              <w:t>Grant Date 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 January 1, 2026</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179,165 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472,222 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released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(34,608)</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 March 31, 2026</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616,779 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unreleased — March 31, 2026</w:t>
            </w:r>
          </w:p>
        </w:tc>
        <w:tc>
          <w:tcPr>
            <w:tcW w:w="82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8,985 </w:t>
            </w:r>
          </w:p>
        </w:tc>
        <w:tc>
          <w:tcPr>
            <w:tcW w:w="2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9.30 </w:t>
            </w:r>
          </w:p>
        </w:tc>
        <w:tc>
          <w:tcPr>
            <w:tcW w:w="23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estimated fair value of RSUs was based on the closing market value of the Company’s common shares on the date of grant. RSUs typically vest over a period of 12 months to three years from the original date of grant. The total grant date fair value of RSUs vested during the three months ended March 31, 2026 and 2025 was approximately $0.2 million and $0.4 million, respectively. The fair value of RSUs vested during the three months ended March 31, 2026 and 2025 was approximately $51,000 and $0.2 million, respectively. </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Restricted Stock Units with a Performance Condition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July 2025, the Company entered into a financial advisory agreement and issued to non-employees RSU grants with a performance condition, of which 50% of the RSUs were vested on the date of grant and the common shares issued. The remaining outstanding will vest upon achievement of a specific performance condition and expire 12 months from the date of grant. See Note 12 Commitments and Contingencies for more information on the related financial advisory agreement.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RSU with performance condition activity:</w:t>
      </w:r>
    </w:p>
    <w:tbl>
      <w:tblPr>
        <w:tblW w:w="6294" w:type="dxa"/>
        <w:jc w:val="left"/>
        <w:tblInd w:w="0" w:type="dxa"/>
        <w:tblLayout w:type="fixed"/>
        <w:tblCellMar>
          <w:top w:w="28" w:type="dxa"/>
          <w:left w:w="28" w:type="dxa"/>
          <w:bottom w:w="28" w:type="dxa"/>
          <w:right w:w="28" w:type="dxa"/>
        </w:tblCellMar>
      </w:tblPr>
      <w:tblGrid>
        <w:gridCol w:w="978"/>
        <w:gridCol w:w="858"/>
        <w:gridCol w:w="863"/>
        <w:gridCol w:w="360"/>
        <w:gridCol w:w="361"/>
        <w:gridCol w:w="296"/>
        <w:gridCol w:w="109"/>
        <w:gridCol w:w="109"/>
        <w:gridCol w:w="109"/>
        <w:gridCol w:w="449"/>
        <w:gridCol w:w="1089"/>
        <w:gridCol w:w="232"/>
        <w:gridCol w:w="109"/>
        <w:gridCol w:w="109"/>
        <w:gridCol w:w="109"/>
        <w:gridCol w:w="154"/>
      </w:tblGrid>
      <w:tr>
        <w:trPr/>
        <w:tc>
          <w:tcPr>
            <w:tcW w:w="97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w:t>
              <w:br/>
              <w:t>Grant Date 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 January 1, 2026</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37,036 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 March 31, 2026</w:t>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37,036 </w:t>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232"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Restricted Stock Awards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there were 45,532 fully vested RSAs granted in lieu of cash payment for services performed. The fair value of the RSAs granted of approximately $0.1 million was based on the closing price of the Company’s common shares on the date of grant. There were no RSAs granted during the three months ended March 31, 2025.</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Share-Based Compensation Expense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compensation expense related to share-based compensation awards was recorded (in thousands):</w:t>
      </w:r>
    </w:p>
    <w:tbl>
      <w:tblPr>
        <w:tblW w:w="8019" w:type="dxa"/>
        <w:jc w:val="center"/>
        <w:tblInd w:w="0" w:type="dxa"/>
        <w:tblLayout w:type="fixed"/>
        <w:tblCellMar>
          <w:top w:w="28" w:type="dxa"/>
          <w:left w:w="28" w:type="dxa"/>
          <w:bottom w:w="28" w:type="dxa"/>
          <w:right w:w="28" w:type="dxa"/>
        </w:tblCellMar>
      </w:tblPr>
      <w:tblGrid>
        <w:gridCol w:w="2082"/>
        <w:gridCol w:w="1829"/>
        <w:gridCol w:w="1833"/>
        <w:gridCol w:w="211"/>
        <w:gridCol w:w="466"/>
        <w:gridCol w:w="109"/>
        <w:gridCol w:w="109"/>
        <w:gridCol w:w="109"/>
        <w:gridCol w:w="109"/>
        <w:gridCol w:w="211"/>
        <w:gridCol w:w="361"/>
        <w:gridCol w:w="109"/>
        <w:gridCol w:w="109"/>
        <w:gridCol w:w="109"/>
        <w:gridCol w:w="109"/>
        <w:gridCol w:w="154"/>
      </w:tblGrid>
      <w:tr>
        <w:trPr/>
        <w:tc>
          <w:tcPr>
            <w:tcW w:w="2082" w:type="dxa"/>
            <w:tcBorders/>
            <w:vAlign w:val="center"/>
          </w:tcPr>
          <w:p>
            <w:pPr>
              <w:pStyle w:val="TableContents"/>
              <w:bidi w:val="0"/>
              <w:spacing w:before="0" w:after="283"/>
              <w:jc w:val="left"/>
              <w:rPr>
                <w:sz w:val="4"/>
                <w:szCs w:val="4"/>
              </w:rPr>
            </w:pPr>
            <w:r>
              <w:rPr>
                <w:sz w:val="4"/>
                <w:szCs w:val="4"/>
              </w:rPr>
            </w:r>
          </w:p>
        </w:tc>
        <w:tc>
          <w:tcPr>
            <w:tcW w:w="1829"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w:t>
              <w:br/>
              <w:t>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share-based compensation expense - general and administrative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22885"/>
                <wp:effectExtent l="0" t="0" r="0" b="0"/>
                <wp:wrapNone/>
                <wp:docPr id="18" name="Frame1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Total unrecognized estimated compensation cost by type of award and the weighted-average remaining requisite service period over which such expense is expected to be recognized (in thousands, unless otherwise noted):</w:t>
      </w:r>
    </w:p>
    <w:tbl>
      <w:tblPr>
        <w:tblW w:w="7630" w:type="dxa"/>
        <w:jc w:val="center"/>
        <w:tblInd w:w="0" w:type="dxa"/>
        <w:tblLayout w:type="fixed"/>
        <w:tblCellMar>
          <w:top w:w="28" w:type="dxa"/>
          <w:left w:w="28" w:type="dxa"/>
          <w:bottom w:w="28" w:type="dxa"/>
          <w:right w:w="28" w:type="dxa"/>
        </w:tblCellMar>
      </w:tblPr>
      <w:tblGrid>
        <w:gridCol w:w="450"/>
        <w:gridCol w:w="394"/>
        <w:gridCol w:w="401"/>
        <w:gridCol w:w="388"/>
        <w:gridCol w:w="1135"/>
        <w:gridCol w:w="201"/>
        <w:gridCol w:w="109"/>
        <w:gridCol w:w="109"/>
        <w:gridCol w:w="109"/>
        <w:gridCol w:w="1269"/>
        <w:gridCol w:w="1269"/>
        <w:gridCol w:w="1796"/>
      </w:tblGrid>
      <w:tr>
        <w:trPr/>
        <w:tc>
          <w:tcPr>
            <w:tcW w:w="45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Unrecognized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Remaining Weighted-Average Recognition Period (years)</w:t>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r>
      <w:tr>
        <w:trPr/>
        <w:tc>
          <w:tcPr>
            <w:tcW w:w="1245"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34" w:type="dxa"/>
            <w:gridSpan w:val="3"/>
            <w:tcBorders/>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38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0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11.Net Loss per Share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Basic net loss per share is computed by dividing net loss applicable to common shareholders by the weighted-average number of common shares outstanding during the period. Common share purchase warrants, options and RSUs outstanding, and preferred shares are considered common stock equivalents and are only included in the calculation of diluted earnings per common share when net income is reported and their effect is dilutive. For all periods presented, there is no difference in the number of shares used to calculate basic and diluted shares outstanding due to the Company’s net loss position.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Anti-dilutive common share equivalents excluded from the computation of diluted net loss per share were as follows:</w:t>
      </w:r>
    </w:p>
    <w:tbl>
      <w:tblPr>
        <w:tblW w:w="5865" w:type="dxa"/>
        <w:jc w:val="center"/>
        <w:tblInd w:w="0" w:type="dxa"/>
        <w:tblLayout w:type="fixed"/>
        <w:tblCellMar>
          <w:top w:w="28" w:type="dxa"/>
          <w:left w:w="28" w:type="dxa"/>
          <w:bottom w:w="28" w:type="dxa"/>
          <w:right w:w="28" w:type="dxa"/>
        </w:tblCellMar>
      </w:tblPr>
      <w:tblGrid>
        <w:gridCol w:w="1020"/>
        <w:gridCol w:w="897"/>
        <w:gridCol w:w="903"/>
        <w:gridCol w:w="488"/>
        <w:gridCol w:w="488"/>
        <w:gridCol w:w="156"/>
        <w:gridCol w:w="150"/>
        <w:gridCol w:w="150"/>
        <w:gridCol w:w="150"/>
        <w:gridCol w:w="413"/>
        <w:gridCol w:w="413"/>
        <w:gridCol w:w="156"/>
        <w:gridCol w:w="109"/>
        <w:gridCol w:w="109"/>
        <w:gridCol w:w="109"/>
        <w:gridCol w:w="154"/>
      </w:tblGrid>
      <w:tr>
        <w:trPr/>
        <w:tc>
          <w:tcPr>
            <w:tcW w:w="1020"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w:t>
              <w:br/>
              <w:t>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 purchase warrants</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1,324,534 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891,899 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and RSUs outstanding</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702,366 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shares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12.Commitments and Contingencies</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Hosting Agreements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November 1, 2025, the Company entered into a Hosting Agreement with North Campbell HostCo LLC (the “Campbell Hosting Agreement”), for rack space, network services, electrical connections, routine facility maintenance, and technical support of certain of the Company’s mining equipment. The Campbell Hosting Agreement has an initial term of 12 months and can be terminated based on certain defaults defined in such agreement. A deposit of $0.4 million has been made based on the Campbell Hosting Agreement. For the three months ended March 31, 2026, the Company incurred costs under the Campbell Hosting Agreement of $0.9 million.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April 19, 2024, the Company entered into a Master Hosting Agreement with Simple Mining LLC (“Simple Mining”) for rack space, network services, electrical connections, routine facility maintenance, and technical support of certain of the Company’s mining equipment (the “Simple Mining Hosting Agreement”), as amended. Effective November 22, 2025, the Simple Mining Hosting Agreement was mutually terminated. For the three months ended March 31, 2026 and 2025, the Company incurred costs under the Simple Mining Hosting Agreement of nil and $1.5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22885"/>
                <wp:effectExtent l="0" t="0" r="0" b="0"/>
                <wp:wrapNone/>
                <wp:docPr id="19" name="Frame1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18, 2023, the Company entered into a Hosting Agreement with Joshi Petroleum, LLC (the “Joshi Hosting Agreement”) for rack space, network services, electrical connections, routine facility maintenance, and technical support of certain of the Company’s mining equipment. Effective January 2, 2026, the Joshi Hosting Agreement was assigned to Evolution Technology LLC. The Joshi Hosting Agreement has an initial term of three years with subsequent one year renewal periods until either party provides written notice to the other party of its desire to avoid and given renewal term at least 30 days in advance of the conclusion of the prior initial term or renewal period. As required by the Joshi Hosting Agreement, the Company paid a deposit of $0.3 million representing the last two months of estimated service fees. For the three months ended March 31, 2026 and 2025, the Company incurred costs under the Joshi Hosting Agreement of $0.1 million and $0.4 million, respectively.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April 4, 2023, the Company entered into a Master Hosting Services Agreement with Rebel Mining Company, LLC (the “Rebel Hosting Agreement”) for rack space, network services, electrical connections, routine facility maintenance, and technical support of certain of the Company’s mining equipment. On January 16, 2025, the Company terminated the Rebel Hosting Agreement and agreed to a settlement amount of $2.4 million payable to the Company in satisfaction of all obligations of the Rebel Hosting Agreement and it constitutes a final settlement of all amounts owed by either party of the Rebel Hosting Agreement. During the third quarter ended September 30, 2025, the Company recorded a $0.3 million impairment for the remaining outstanding portion of the settlement that is in default. For the three months ended March 31, 2026 and 2025, the Company incurred costs under the Rebel Hosting agreements of nil and $0.1 million, respectively.</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Management Agreement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March 2025, the Company entered into a management services agreement with Simple Mining to manage its self-owned 8 megawatt facility in Iowa (“Iowa Site”) for a term of 12 months, with automatic renewals for subsequent terms of 12 months unless terminated by either party with written notice 30 days prior to the expiration of the then current term. For the three months ended March 31, 2026 and 2025, management services fees paid to Simple Mining were approximately $44,000 and $12,000, respectively. </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Financial Advisory Agreement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July 2025, the Company entered into a financial advisory and consulting agreement for a term of 12 months, with automatic one month renewal periods. The agreement can be canceled by either party at any time with 10 days written notification to the other party. Fees are $25,000 per month for ongoing work, and a $1.45 million fee for certain transactions, payable in cash and equity. For the three months ended March 31, 2026, fees paid under the financial and advisory agreement were approximately $0.1 million.</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Letters of Credit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ordinary course of business, the Company provides standby letters of credit to third parties as required for certain transactions initiated by the Company. As of March 31, 2026, the Company had no outstanding standby letters of credit.</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 xml:space="preserve">Litigation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The Company is, from time to time, subject to claims and suits arising in the ordinary course of business. The Company</w:t>
      </w:r>
      <w:r>
        <w:rPr>
          <w:color w:val="000000"/>
          <w:shd w:fill="FFFFFF" w:val="clear"/>
        </w:rPr>
        <w:t xml:space="preserve"> </w:t>
      </w:r>
      <w:r>
        <w:rPr>
          <w:rFonts w:ascii="Times New Roman;serif" w:hAnsi="Times New Roman;serif"/>
          <w:b w:val="false"/>
          <w:color w:val="000000"/>
          <w:sz w:val="20"/>
          <w:shd w:fill="FFFFFF" w:val="clear"/>
        </w:rPr>
        <w:t>cannot predict the final outcome of such proceedings. Where appropriate, the Company vigorously defends such claims, lawsuits and proceedings. Paid expenses related to the defense of such claims are recorded by the Company as incurred and paid. On the basis of current information, the Company does not believe there is a reasonable possibility that a material loss, if any, will result from any claims, lawsuits and proceedings to which the Company is subject to either individually, or in the aggregate.</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22885"/>
                <wp:effectExtent l="0" t="0" r="0" b="0"/>
                <wp:wrapNone/>
                <wp:docPr id="20" name="Frame2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13.Subsequent Events</w:t>
      </w:r>
    </w:p>
    <w:p>
      <w:pPr>
        <w:pStyle w:val="TextBody"/>
        <w:bidi w:val="0"/>
        <w:spacing w:lineRule="auto" w:line="288" w:before="1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Subsequent to March 31, 2026, the Company granted 86,871 fully vested RSAs with a fair value of approximately $0.1 million based on the closing price of the Company’s common shares on the date of grant.</w:t>
      </w:r>
    </w:p>
    <w:p>
      <w:pPr>
        <w:pStyle w:val="TextBody"/>
        <w:bidi w:val="0"/>
        <w:spacing w:lineRule="auto" w:line="288" w:before="10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At-the-Market Offering Program</w:t>
      </w:r>
    </w:p>
    <w:p>
      <w:pPr>
        <w:pStyle w:val="TextBody"/>
        <w:bidi w:val="0"/>
        <w:spacing w:lineRule="auto" w:line="288" w:before="1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Subsequent to March 31, 2026, under the ATM Agreement the Company issued 389,865 common shares for $0.6 million of net proceeds.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22885"/>
                <wp:effectExtent l="0" t="0" r="0" b="0"/>
                <wp:wrapNone/>
                <wp:docPr id="21" name="Frame2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quarterly management’s discussion and analysis (“MD&amp;A”) should be read in conjunction with our unaudited condensed consolidated financial statements and the accompanying notes of Sphere 3D Corp. (the “Company”) for the three months ended March 31, 2026. The condensed consolidated financial statements have been presented in United States (“U.S.”) dollars and have been prepared in accordance with accounting principles generally accepted in the United States of America (“GAAP”). Unless the context otherwise requires, any reference to the “Company,” “Sphere 3D,” “we,” “our,” “us” or similar terms refers to Sphere 3D Corp. and its subsidiaries. Unless otherwise indicated, all references to “$” and “dollars” in this discussion and analysis mean U.S. dollars.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This report includes forward-looking statements that are subject to risks and uncertainties. This forward-looking information includes, but is not limited to, statements with respect to management’s expectations regarding the future growth, results of operations, performance and business prospects of Sphere 3D. This forward-looking information relates to, among other things, future business plans and business planning process, uses of cash, and may also include other statements that are predictive in nature, or that depend upon or refer to future events or conditions. The words “could”, “expects”, “may”, “will”, “anticipates”, “assumes”, “intends”, “plans”, “believes”, “estimates”, “guidance”, and similar expressions are intended to identify statements containing forward-looking information, although not all forward-looking statements include such words. In addition, any statements that refer to expectations, projections or other characterizations of future events or circumstances contain forward-looking information. Statements containing forward-looking information are not historical facts but instead represent management’s expectations, estimates and projections regarding future events.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Many factors could cause actual results, performance or achievements or future events or developments to differ materially from those expressed or implied by the forward-looking statements, including, but not limited to: the inability to maintain compliance with the requirements of the Nasdaq Capital Market (“Nasdaq”) and/or inability to maintain listing with Nasdaq; the impact of competition; the investment in technological innovation; the retention or maintenance of key personnel; the possibility of significant fluctuations in operating results; the ability of Sphere 3D to maintain business relationships; financial, political or economic conditions; financing risks; future acquisitions; volatility in the market price for the common shares of the Company; compliance by Sphere 3D with financial reporting and other requirements as a public company; conflicts of interests; future sales of common shares by Sphere 3D’s directors, officers and other shareholders; dilution and future sales of common shares. For more information on these risks, you should refer to the Company’s filings with the securities regulatory authorities, including the Company’s most recently filed Annual Report on Form 10-K, which is available on SEDAR at www.sedar.com and EDGAR at www.sec.gov. In evaluating such statements, we urge you to specifically consider various factors identified in this report, any of which could cause actual results to differ materially from those indicated by such forward-looking statements. Forward-looking statements speak only as of the date of this report and we undertake no obligation to publicly update any forward-looking statements to reflect new information, events or circumstances after the date of this report. Actual events or results may differ materially from such statements.</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Business Combination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March 5, 2026, the Company and Cathedra Bitcoin Inc. (“Cathedra”), entered into a definitive agreement to combine the two companies in an all-stock transaction (the “Arrangement Agreement”). Under the terms of the Arrangement Agreement, the Company has agreed to acquire all of the issued and outstanding shares of Cathedra (the “Transaction”), subject to customary closing conditions, including regulatory, court, and shareholder approvals, such that upon consummation of the Transaction, Cathedra will be a wholly-owned subsidiary of the Company. If the Arrangement Agreement is terminated in certain specified circumstances, the Company or Cathedra would be required to pay the other party a termination fee of $0.5 million. The Arrangement Agreement is currently expected to close in the second quarter of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22885"/>
                <wp:effectExtent l="0" t="0" r="0" b="0"/>
                <wp:wrapNone/>
                <wp:docPr id="22" name="Frame2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Share Consolidation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February 9, 2026, we filed an Articles of Amendment to effect a share consolidation (also known as a reverse stock split) of our issued and outstanding common shares in the ratio of 1-for-10. The share consolidation was effective on February 9, 2026. Our common shares began trading on an adjusted basis on Nasdaq at the opening of trading on February 10, 2026. All share and per share amounts have been restated for all periods presented to reflect the share consolidation.</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January 2022, we commenced operations of our Bitcoin mining business and are dedicated to becoming a leader in the blockchain and cryptocurrency industry. We have established and continue to grow an enterprise-scale mining operation through the procurement of mining equipment and infrastructure, and partnering with experienced service providers.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obtain Bitcoin as a result of our mining operations, and when necessary, we sell Bitcoin to support our operations and strategic growth. We mine Bitcoin in states that do not have any material state-specific regulatory restrictions on the mining of Bitcoin. However, it is possible that these states or other states in which we may seek to operate may create laws that would impede Bitcoin mining. We do not currently plan to engage in regular trading of Bitcoin other than sales to convert our Bitcoin into U.S. dollars. Decisions to hold or sell our Bitcoin is currently determined by management by analyzing forecasts and monitoring the market in real time. We have a hybrid treasury strategy to hold Bitcoin when possible and sell to fund working capital requirements.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March 31, 2026, we have a total hashrate capacity of 0.84 exahash per second (“EH/s”). We are strategizing for our future growth and have refreshed a significant portion of our fleet with newer-generation machines to bolster efficiency. In February 2026, we completed the sale of older generation mining equipment not in service for proceeds of $1.2 million, which was applied to the purchase of new mining equipment. As of March 2025, we have a self-owned 8 megawatt facility in Iowa (“Iowa Site”). Vertically integrating with self-owned facilities, such as our Iowa Site, allows us to reduce our reliance on third-parties and decrease our overall cost to mine a Bitcoin. As a result of our recent strategic changes, mining production has decreased as we focused on our long-term goals of (i) transitioning to lower-cost hosting sites, (ii) vertically integrating to own our own sites, and (iii) refreshing our fleet with newer-generation machines.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we mined 25.3 Bitcoin, which represented a decrease of 17.0% over the 30.5 Bitcoin we mined during the three months ended March 31, 2025. The decrease was primarily due to our transition to lower-cost hosting sites and refreshing our fleet with newer-generation machines. Based on our existing operations and expected deployment of miners we have purchased, we anticipate continuing to increase exahash throughout 2026. We do not have scheduled downtime for our miners. We periodically perform both scheduled and unscheduled maintenance on our miners. Depending on the type of repair, the miner may run at a reduced speed or be taken offline. We use software programs to monitor the performance of our machines. The miners operating as of March 31, 2026 have an average efficiency (joules per terahash – “J/th”) of 17.1 J/th. The miner efficiency is an indication of how efficiently we can earn Bitcoin and minimize cost to run the miner. Currently, we intend only to mine Bitcoin and we hold no other cryptocurrency other than Bitcoin. We do not have any power purchase agreements for the supply of power.</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March 31, 2026, we held approximately 26.2 Bitcoin. The fair value of our Bitcoin as of March 31, 2026 was approximately $1.8 million on our consolidated balance sheet.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22885"/>
                <wp:effectExtent l="0" t="0" r="0" b="0"/>
                <wp:wrapNone/>
                <wp:docPr id="23" name="Frame2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The First Quarter of 2026 Compared with the First Quarter of 2025</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first quarter of 2026 and 2025, we had revenues of $1.9 million and $2.8 million, respectively. The $0.9 million decrease in revenue is primarily due to the process of removing older mining equipment and replacing it with newer generation machines resulting in fewer machines mining and less Bitcoin mined, and a decrease in the fair value of Bitcoin. The refreshing of our mining equipment is substantially complete as of the end of the first quarter of 2026. During the first quarter of 2026 and 2025, all of our revenue was derived from Bitcoin mining.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Cost of Revenue (exclusive of depreciation and amortization expense)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2026 and 2025, direct cost of revenues were $1.6 million and $2.2 million, respectively. The $0.6 million decrease in cost of revenue was primarily due to lower hosting fees related to older machines taken offline, sold, and replaced with newer generation machines, as well as lower cost of revenue at our Iowa Site.</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General and Administrative Expense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were $2.5 million and $3.2 million for the first quarter of 2026 and 2025, respectively. The $0.7 million decrease was primarily due to a $1.1 million decrease in legal fees related to a resolved litigation, and a $0.1 million decrease in insurance expense. These decreases were offset by a $0.3 million increase in costs related to strategic business growth efforts, and a $0.2 million increase in share-based compensation.</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Depreciation and Amortization Expense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expense was $1.1 million and $1.6 million for the first quarter of 2026 and 2025, respectively.</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Loss on Disposal of Property and Equipment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Loss on disposal of property and equipment was $0.2 million and $0.8 million for the first quarter of 2026 and 2025, respectively, and related to the sale of mining equipment.</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Change in Fair Value of Bitcoin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Change in fair value of Bitcoin was a loss of $0.6 million and $0.2 million for the first quarter of 2026 and 2025, respectively. The loss was the change in fair value of Bitcoin held, as well as the loss from when Bitcoin was sold.</w:t>
      </w:r>
    </w:p>
    <w:p>
      <w:pPr>
        <w:pStyle w:val="TextBody"/>
        <w:bidi w:val="0"/>
        <w:spacing w:lineRule="auto" w:line="288" w:before="100" w:after="283"/>
        <w:jc w:val="both"/>
        <w:rPr>
          <w:rFonts w:ascii="Times New Roman;serif" w:hAnsi="Times New Roman;serif"/>
          <w:b/>
          <w:i/>
          <w:color w:val="000000"/>
          <w:sz w:val="20"/>
        </w:rPr>
      </w:pPr>
      <w:r>
        <w:rPr>
          <w:rFonts w:ascii="Times New Roman;serif" w:hAnsi="Times New Roman;serif"/>
          <w:b/>
          <w:i/>
          <w:color w:val="000000"/>
          <w:sz w:val="20"/>
        </w:rPr>
        <w:t>Non-Operating Income and Expenses</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Investment Loss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Investment loss was nil and loss of $3.7 million for the first quarter of 2026 and 2025, respectively, and related to unrealized losses on our equity investment in Core Scientific Inc.</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principal sources of liquidity are our existing cash and cash equivalents. We expect to fund our operations going forward with existing cash resources, revenue from our Bitcoin mining operation, and cash that we may raise through future financing transactions. At March 31, 2026, we had cash and cash equivalents of $3.1 million compared to cash and cash equivalents of $3.7 million at December 31, 2025. As of March 31, 2026, we had working capital of $5.0 million, reflecting a decrease of $1.9 million since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22885"/>
                <wp:effectExtent l="0" t="0" r="0" b="0"/>
                <wp:wrapNone/>
                <wp:docPr id="24" name="Frame2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0" w:after="0"/>
        <w:ind w:left="0" w:right="0" w:firstLine="540"/>
        <w:jc w:val="both"/>
        <w:rPr/>
      </w:pPr>
      <w:r>
        <w:rPr>
          <w:rFonts w:ascii="Times New Roman;serif" w:hAnsi="Times New Roman;serif"/>
          <w:b w:val="false"/>
          <w:i/>
          <w:color w:val="000000"/>
          <w:sz w:val="20"/>
        </w:rPr>
        <w:t xml:space="preserve">At-the-Market Offering Program. </w:t>
      </w:r>
      <w:r>
        <w:rPr>
          <w:rFonts w:ascii="Times New Roman;serif" w:hAnsi="Times New Roman;serif"/>
          <w:b w:val="false"/>
          <w:color w:val="000000"/>
          <w:sz w:val="20"/>
        </w:rPr>
        <w:t xml:space="preserve">On January 3, 2025, we entered into a sales agreement (the “ATM Agreement”) with A.G.P./Alliance Global Partners (the “Sales Agent”). In accordance with the terms of the ATM Agreement, we may offer and sell from time to time through or to the Sales Agent, as agent or principal, the Company's common shares having an aggregate offering price of up to $8.0 million (the “Placement Shares”). The ATM Agreement can be terminated by either party by giving two days written notice. We expect that any proceeds received from the facility will be used primarily for working capital and general corporate purposes and in furtherance of our corporate strategy which may include to accelerate efficiency, for the purchase/upgrade of the Company’s mining fleet, and vertical integration of infrastructure. </w:t>
      </w:r>
    </w:p>
    <w:p>
      <w:pPr>
        <w:pStyle w:val="TextBody"/>
        <w:bidi w:val="0"/>
        <w:spacing w:lineRule="auto" w:line="288" w:before="1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Neither us nor the Sales Agent are obligated to sell any Placement Shares pursuant to the ATM Agreement. Subject to the terms and conditions of the ATM Agreement, the Sales Agent will use commercially reasonable efforts, consistent with its normal trading and sales practices and applicable state and federal law, rules and regulations and the rules of Nasdaq, to sell the Placement Shares from time to time based upon our instructions, including any price, time or size limits or other customary parameters or conditions we may impose. Sales of the Placement Shares, if any, will be made on Nasdaq at market prices by any method permitted by law deemed to be an “at the market offering” as defined in Rule 415 of the Securities Act of 1933, as amended. For the three months ended March 31, 2026 and 2025, under the ATM Agreement the Company issued 256,142 and 21,045 common shares, respectively, for $0.4 million and $0.1 million of net proceeds, respectively. Subsequent to March 31, 2026, under the ATM Agreement we issued 389,865 common shares for $0.6 million of net proceeds.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Management has projected that based on our recurring losses, negative cash flows from operating activities, and our hashing rate at March 31, 2026, cash on hand may not be sufficient to allow us to continue operations and there is substantial doubt about our ability to continue as a going concern within 12 months from the date of issuance of our financial statements if we are unable to raise additional funding for operations. We expect our working capital needs to increase in the future as we continue to expand and enhance our operations. Our ability to raise additional funds for working capital through equity or debt financings or other sources may depend on the financial success of our business and successful implementation of our key strategic initiatives, financial, economic and market conditions and other factors, some of which are beyond our control. We require additional capital and if we are unsuccessful in raising that capital at a reasonable cost and at the required times, or at all, we may not be able to continue our business operations in the cryptocurrency mining industry or we may be unable to advance our growth initiatives, either of which could adversely impact our business, financial condition and results of operations. In an effort to mitigate these risks we are taking steps to lower our cost of mining and have refreshed our mining fleet to increase our mining efficiency.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Significant changes from our current forecasts, including but not limited to: (i) shortfalls from projected mining earning levels; (ii) increases in operating costs; (iii) decreases in the value of cryptocurrency; and (iv) if we do not maintain compliance with the requirements of Nasdaq and/or we do not maintain our listing with Nasdaq it could have a material adverse impact on our ability to access the level of funding necessary to continue operations at current levels. These factors, among others, should they occur may result in our inability to continue as a going concern within 12 months from the date of issuance of our financial statements. The accompanying consolidated financial statements have been prepared on a going concern basis, which contemplates the realization of assets and the satisfaction of liabilities in the normal course of business and do not include any adjustments that might result from the outcome of this uncertainty.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shows a summary of our cash flows (used in) provided by operating activities, investing activities, and financing activities (in thousands):</w:t>
      </w:r>
    </w:p>
    <w:tbl>
      <w:tblPr>
        <w:tblW w:w="6186" w:type="dxa"/>
        <w:jc w:val="center"/>
        <w:tblInd w:w="0" w:type="dxa"/>
        <w:tblLayout w:type="fixed"/>
        <w:tblCellMar>
          <w:top w:w="28" w:type="dxa"/>
          <w:left w:w="28" w:type="dxa"/>
          <w:bottom w:w="28" w:type="dxa"/>
          <w:right w:w="28" w:type="dxa"/>
        </w:tblCellMar>
      </w:tblPr>
      <w:tblGrid>
        <w:gridCol w:w="1254"/>
        <w:gridCol w:w="1104"/>
        <w:gridCol w:w="1107"/>
        <w:gridCol w:w="109"/>
        <w:gridCol w:w="109"/>
        <w:gridCol w:w="109"/>
        <w:gridCol w:w="211"/>
        <w:gridCol w:w="691"/>
        <w:gridCol w:w="109"/>
        <w:gridCol w:w="109"/>
        <w:gridCol w:w="109"/>
        <w:gridCol w:w="109"/>
        <w:gridCol w:w="211"/>
        <w:gridCol w:w="691"/>
        <w:gridCol w:w="154"/>
      </w:tblGrid>
      <w:tr>
        <w:trPr/>
        <w:tc>
          <w:tcPr>
            <w:tcW w:w="125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w:t>
              <w:br/>
              <w:t>Ended March 31,</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22885"/>
                <wp:effectExtent l="0" t="0" r="0" b="0"/>
                <wp:wrapNone/>
                <wp:docPr id="25" name="Frame2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Net cash used in operating activities</w:t>
      </w:r>
      <w:r>
        <w:rPr>
          <w:rFonts w:ascii="Times New Roman;serif" w:hAnsi="Times New Roman;serif"/>
          <w:b w:val="false"/>
          <w:color w:val="000000"/>
          <w:sz w:val="20"/>
        </w:rPr>
        <w:t xml:space="preserve">. The use of cash during the first three months of 2026 was primarily a result of our net loss of $4.1 million, offset by $2.3 million in noncash items, which primarily included depreciation and amortization, share-based compensation expense, loss on disposal of property and equipment, and change in fair value of Bitcoin. </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Net cash provided by investing activities.</w:t>
      </w:r>
      <w:r>
        <w:rPr>
          <w:color w:val="000000"/>
        </w:rPr>
        <w:t xml:space="preserve"> </w:t>
      </w:r>
      <w:r>
        <w:rPr>
          <w:rFonts w:ascii="Times New Roman;serif" w:hAnsi="Times New Roman;serif"/>
          <w:b w:val="false"/>
          <w:color w:val="000000"/>
          <w:sz w:val="20"/>
        </w:rPr>
        <w:t xml:space="preserve">During the first three months of 2026, we received $2.8 million from proceeds from the sale of Bitcoin. During the first three months of 2025, we received $2.1 million of proceeds from the sale of Bitcoin, and $0.2 million of proceeds from the sale of older mining machines, offset by $1.0 million of payments for the purchase of property and equipment consisting of newer generation mining machines. </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 xml:space="preserve">Net cash provided by financing activities. </w:t>
      </w:r>
      <w:r>
        <w:rPr>
          <w:rFonts w:ascii="Times New Roman;serif" w:hAnsi="Times New Roman;serif"/>
          <w:b w:val="false"/>
          <w:color w:val="000000"/>
          <w:sz w:val="20"/>
        </w:rPr>
        <w:t>For the first three months of 2026 and 2025, we received $0.4 million and $0.1 million of net proceeds from the issuance of common shares through our ATM Agreement.</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Off-Balance Sheet Information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ordinary course of business, we may provide standby letters of credit to third parties as required for certain transactions initiated by us. As of March 31, 2026, we have no standby letters of credit outstanding.</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The discussion and analysis of our financial condition and results of operations are based on our condensed consolidated financial statements, which have been prepared in accordance with U.S. generally accepted accounting principles, or U.S. GAAP. The preparation of our condensed consolidated financial statements requires us to make estimates and judgments that affect the reported amounts of assets, liabilities, revenues and expenses and related disclosure of contingent assets and liabilities. We review our estimates on an ongoing basis. We base our estimates on historical experience and on various other assumptions that we believe to be reasonable under the circumstances, the results of which form the basis for making judgments about the carrying values of assets and liabilities. Actual results may differ from these estimates under different assumptions or conditions. M</w:t>
      </w:r>
      <w:r>
        <w:rPr>
          <w:rFonts w:ascii="Times New Roman;serif" w:hAnsi="Times New Roman;serif"/>
          <w:b w:val="false"/>
          <w:color w:val="000000"/>
          <w:sz w:val="20"/>
          <w:shd w:fill="FFFFFF" w:val="clear"/>
        </w:rPr>
        <w:t xml:space="preserve">anagement has determined that there are no critical accounting estimates that require disclosure. </w:t>
      </w:r>
      <w:r>
        <w:rPr>
          <w:rFonts w:ascii="Times New Roman;serif" w:hAnsi="Times New Roman;serif"/>
          <w:b w:val="false"/>
          <w:color w:val="000000"/>
          <w:sz w:val="20"/>
        </w:rPr>
        <w:t>Our significant accounting policies are outlined in Note 2 to the consolidated financial statements included in our Annual Report on Form 10-K for the fiscal year ended December 31, 2025.</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Refer to </w:t>
      </w:r>
      <w:r>
        <w:rPr>
          <w:rFonts w:ascii="Times New Roman;serif" w:hAnsi="Times New Roman;serif"/>
          <w:b w:val="false"/>
          <w:i/>
          <w:color w:val="000000"/>
          <w:sz w:val="20"/>
        </w:rPr>
        <w:t xml:space="preserve">Note 2 - Summary of Significant Accounting Policies </w:t>
      </w:r>
      <w:r>
        <w:rPr>
          <w:rFonts w:ascii="Times New Roman;serif" w:hAnsi="Times New Roman;serif"/>
          <w:b w:val="false"/>
          <w:color w:val="000000"/>
          <w:sz w:val="20"/>
        </w:rPr>
        <w:t>to our condensed consolidated financial statements for a discussion of recent accounting pronouncements and their effect, if any, on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283"/>
        <w:ind w:left="0" w:right="0" w:firstLine="540"/>
        <w:jc w:val="left"/>
        <w:rPr>
          <w:rFonts w:ascii="Times New Roman;serif" w:hAnsi="Times New Roman;serif"/>
          <w:b/>
          <w:color w:val="000000"/>
          <w:sz w:val="20"/>
        </w:rPr>
      </w:pPr>
      <w:r>
        <w:rPr>
          <w:rFonts w:ascii="Times New Roman;serif" w:hAnsi="Times New Roman;serif"/>
          <w:b/>
          <w:color w:val="000000"/>
          <w:sz w:val="20"/>
        </w:rPr>
        <w:t xml:space="preserve">Disclosure Controls and Procedures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supervision and with the participation of our management, including our principal executive officer and principal accounting officer, we conducted an evaluation of our disclosure controls and procedures, as such term is defined under Rules 13a-15(e) or 15d-15(e) under the Exchange Act. Based on this evaluation, our principal executive officer and our principal accounting officer concluded that our disclosure controls and procedures were effective to give reasonable assurance that information required to be publicly disclosed is recorded, processed, summarized, and reported on a timely basis as of the end of the period covered by this report. </w:t>
      </w:r>
    </w:p>
    <w:p>
      <w:pPr>
        <w:pStyle w:val="TextBody"/>
        <w:bidi w:val="0"/>
        <w:spacing w:lineRule="auto" w:line="288" w:before="120" w:after="283"/>
        <w:ind w:left="0" w:right="0" w:firstLine="540"/>
        <w:jc w:val="left"/>
        <w:rPr>
          <w:rFonts w:ascii="Times New Roman;serif" w:hAnsi="Times New Roman;serif"/>
          <w:b/>
          <w:color w:val="000000"/>
          <w:sz w:val="20"/>
        </w:rPr>
      </w:pPr>
      <w:r>
        <w:rPr>
          <w:rFonts w:ascii="Times New Roman;serif" w:hAnsi="Times New Roman;serif"/>
          <w:b/>
          <w:color w:val="000000"/>
          <w:sz w:val="20"/>
        </w:rPr>
        <w:t xml:space="preserve">Changes in Internal Control over Financial Reporting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no changes in our internal control over financial reporting during the quarter ended March 31, 2026 that have materially affected, or are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22885"/>
                <wp:effectExtent l="0" t="0" r="0" b="0"/>
                <wp:wrapNone/>
                <wp:docPr id="26" name="Frame2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For a discussion of our legal proceedings, see Note 12. </w:t>
      </w:r>
      <w:r>
        <w:rPr>
          <w:rFonts w:ascii="Times New Roman;serif" w:hAnsi="Times New Roman;serif"/>
          <w:b w:val="false"/>
          <w:i/>
          <w:color w:val="000000"/>
          <w:sz w:val="20"/>
        </w:rPr>
        <w:t>Commitments and Contingencies</w:t>
      </w:r>
      <w:r>
        <w:rPr>
          <w:color w:val="000000"/>
        </w:rPr>
        <w:t xml:space="preserve"> </w:t>
      </w:r>
      <w:r>
        <w:rPr>
          <w:rFonts w:ascii="Times New Roman;serif" w:hAnsi="Times New Roman;serif"/>
          <w:b w:val="false"/>
          <w:color w:val="000000"/>
          <w:sz w:val="20"/>
        </w:rPr>
        <w:t>to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An investment in our Company involves a high degree of risk. In addition to the risk factors and other information included or incorporated by reference to this report, you should carefully consider each of the risk factors described in our Annual Report on Form 10-K for the fiscal year ended December 31, 2025, which is available on SEDAR at www.sedar.com and EDGAR at www.sec.gov. Furthermore, various risk factors applicable to us, our business and Cathedra in connection with the proposed Transaction with Cathedra are described under the heading “Risk Factors” in the definitive proxy statement filed with the Securities and Exchange Commission on April 16, 2026, which risk factors are incorporated herein by reference. These risks and uncertainties are not the only ones we face. Additional risks and uncertainties not presently known to us or that we currently consider immaterial may also impair our business operations. If any of the risks occur, our business and financial results could be harmed and the trading price of our common shares could decline.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22885"/>
                <wp:effectExtent l="0" t="0" r="0" b="0"/>
                <wp:wrapNone/>
                <wp:docPr id="27" name="Frame2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center"/>
        <w:tblInd w:w="0" w:type="dxa"/>
        <w:tblLayout w:type="fixed"/>
        <w:tblCellMar>
          <w:top w:w="28" w:type="dxa"/>
          <w:left w:w="28" w:type="dxa"/>
          <w:bottom w:w="28" w:type="dxa"/>
          <w:right w:w="28" w:type="dxa"/>
        </w:tblCellMar>
      </w:tblPr>
      <w:tblGrid>
        <w:gridCol w:w="255"/>
        <w:gridCol w:w="224"/>
        <w:gridCol w:w="227"/>
        <w:gridCol w:w="2184"/>
        <w:gridCol w:w="2114"/>
        <w:gridCol w:w="2136"/>
        <w:gridCol w:w="259"/>
        <w:gridCol w:w="259"/>
        <w:gridCol w:w="263"/>
        <w:gridCol w:w="223"/>
        <w:gridCol w:w="198"/>
        <w:gridCol w:w="173"/>
        <w:gridCol w:w="283"/>
        <w:gridCol w:w="283"/>
        <w:gridCol w:w="262"/>
        <w:gridCol w:w="296"/>
        <w:gridCol w:w="238"/>
        <w:gridCol w:w="328"/>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184" w:type="dxa"/>
            <w:tcBorders/>
            <w:vAlign w:val="center"/>
          </w:tcPr>
          <w:p>
            <w:pPr>
              <w:pStyle w:val="TableContents"/>
              <w:bidi w:val="0"/>
              <w:spacing w:before="0" w:after="283"/>
              <w:jc w:val="left"/>
              <w:rPr>
                <w:sz w:val="4"/>
                <w:szCs w:val="4"/>
              </w:rPr>
            </w:pPr>
            <w:r>
              <w:rPr>
                <w:sz w:val="4"/>
                <w:szCs w:val="4"/>
              </w:rPr>
            </w:r>
          </w:p>
        </w:tc>
        <w:tc>
          <w:tcPr>
            <w:tcW w:w="2114" w:type="dxa"/>
            <w:tcBorders/>
            <w:vAlign w:val="center"/>
          </w:tcPr>
          <w:p>
            <w:pPr>
              <w:pStyle w:val="TableContents"/>
              <w:bidi w:val="0"/>
              <w:spacing w:before="0" w:after="283"/>
              <w:jc w:val="left"/>
              <w:rPr>
                <w:sz w:val="4"/>
                <w:szCs w:val="4"/>
              </w:rPr>
            </w:pPr>
            <w:r>
              <w:rPr>
                <w:sz w:val="4"/>
                <w:szCs w:val="4"/>
              </w:rPr>
            </w:r>
          </w:p>
        </w:tc>
        <w:tc>
          <w:tcPr>
            <w:tcW w:w="213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w:t>
            </w:r>
          </w:p>
        </w:tc>
        <w:tc>
          <w:tcPr>
            <w:tcW w:w="6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Filed</w:t>
            </w:r>
          </w:p>
        </w:tc>
        <w:tc>
          <w:tcPr>
            <w:tcW w:w="22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Number</w:t>
            </w:r>
          </w:p>
        </w:tc>
        <w:tc>
          <w:tcPr>
            <w:tcW w:w="6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Herewith</w:t>
            </w:r>
          </w:p>
        </w:tc>
        <w:tc>
          <w:tcPr>
            <w:tcW w:w="5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Form</w:t>
            </w:r>
          </w:p>
        </w:tc>
        <w:tc>
          <w:tcPr>
            <w:tcW w:w="8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 No.</w:t>
            </w:r>
          </w:p>
        </w:tc>
        <w:tc>
          <w:tcPr>
            <w:tcW w:w="8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Date Filed</w:t>
            </w:r>
          </w:p>
        </w:tc>
      </w:tr>
      <w:tr>
        <w:trPr/>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643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erif" w:hAnsi="Times New Roman;serif"/>
                  <w:b w:val="false"/>
                  <w:color w:val="0000FF"/>
                  <w:sz w:val="20"/>
                  <w:u w:val="single"/>
                </w:rPr>
                <w:t>Arrangement Agreement, dated as of March 5, 2026, by and among Sphere 3D Corp., S3D Acquisition Corp. and Cathedra Bitcoin Inc.</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8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001-36532</w:t>
            </w:r>
          </w:p>
        </w:tc>
        <w:tc>
          <w:tcPr>
            <w:tcW w:w="8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3/11/2026</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643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erif" w:hAnsi="Times New Roman;serif"/>
                  <w:b w:val="false"/>
                  <w:color w:val="0000FF"/>
                  <w:sz w:val="20"/>
                  <w:u w:val="single"/>
                </w:rPr>
                <w:t>Certificate and Articles of Amalgamation of Sphere 3D Corp.</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6-K</w:t>
            </w:r>
          </w:p>
        </w:tc>
        <w:tc>
          <w:tcPr>
            <w:tcW w:w="8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001-36532</w:t>
            </w:r>
          </w:p>
        </w:tc>
        <w:tc>
          <w:tcPr>
            <w:tcW w:w="8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3/25/2015</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643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erif" w:hAnsi="Times New Roman;serif"/>
                  <w:b w:val="false"/>
                  <w:color w:val="0000FF"/>
                  <w:sz w:val="20"/>
                  <w:u w:val="single"/>
                </w:rPr>
                <w:t>Certificate of Amendment to the Articles of Amalgamation of Sphere 3D Corp.</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6-K</w:t>
            </w:r>
          </w:p>
        </w:tc>
        <w:tc>
          <w:tcPr>
            <w:tcW w:w="8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001-36532</w:t>
            </w:r>
          </w:p>
        </w:tc>
        <w:tc>
          <w:tcPr>
            <w:tcW w:w="8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7/17/2017</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643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erif" w:hAnsi="Times New Roman;serif"/>
                  <w:b w:val="false"/>
                  <w:color w:val="0000FF"/>
                  <w:sz w:val="20"/>
                  <w:u w:val="single"/>
                </w:rPr>
                <w:t>Certificate of Amendment to the Articles of Amalgamation of Sphere 3D Corp.</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8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001-36532</w:t>
            </w:r>
          </w:p>
        </w:tc>
        <w:tc>
          <w:tcPr>
            <w:tcW w:w="8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10/2/2018</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3.4</w:t>
            </w:r>
          </w:p>
        </w:tc>
        <w:tc>
          <w:tcPr>
            <w:tcW w:w="643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
              <w:r>
                <w:rPr>
                  <w:rStyle w:val="InternetLink"/>
                  <w:rFonts w:ascii="Times New Roman;serif" w:hAnsi="Times New Roman;serif"/>
                  <w:b w:val="false"/>
                  <w:color w:val="0000FF"/>
                  <w:sz w:val="20"/>
                  <w:u w:val="single"/>
                </w:rPr>
                <w:t>Certificate of Amendment to the Articles of Amalgamation of Sphere 3D Corp.</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8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001-36532</w:t>
            </w:r>
          </w:p>
        </w:tc>
        <w:tc>
          <w:tcPr>
            <w:tcW w:w="8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11/5/2018</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3.5</w:t>
            </w:r>
          </w:p>
        </w:tc>
        <w:tc>
          <w:tcPr>
            <w:tcW w:w="643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
              <w:r>
                <w:rPr>
                  <w:rStyle w:val="InternetLink"/>
                  <w:rFonts w:ascii="Times New Roman;serif" w:hAnsi="Times New Roman;serif"/>
                  <w:b w:val="false"/>
                  <w:color w:val="0000FF"/>
                  <w:sz w:val="20"/>
                  <w:u w:val="single"/>
                </w:rPr>
                <w:t>Certificate of Amendment to the Articles of Amalgamation of Sphere 3D Corp.</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8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001-36532</w:t>
            </w:r>
          </w:p>
        </w:tc>
        <w:tc>
          <w:tcPr>
            <w:tcW w:w="8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11/14/2018</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3.6</w:t>
            </w:r>
          </w:p>
        </w:tc>
        <w:tc>
          <w:tcPr>
            <w:tcW w:w="643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8">
              <w:r>
                <w:rPr>
                  <w:rStyle w:val="InternetLink"/>
                  <w:rFonts w:ascii="Times New Roman;serif" w:hAnsi="Times New Roman;serif"/>
                  <w:b w:val="false"/>
                  <w:color w:val="0000FF"/>
                  <w:sz w:val="20"/>
                  <w:u w:val="single"/>
                </w:rPr>
                <w:t>Certificate of Amendment to the Articles of Amalgamation of Sphere 3D Corp.</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8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001-36532</w:t>
            </w:r>
          </w:p>
        </w:tc>
        <w:tc>
          <w:tcPr>
            <w:tcW w:w="8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7/12/2019</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3.7</w:t>
            </w:r>
          </w:p>
        </w:tc>
        <w:tc>
          <w:tcPr>
            <w:tcW w:w="643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9">
              <w:r>
                <w:rPr>
                  <w:rStyle w:val="InternetLink"/>
                  <w:rFonts w:ascii="Times New Roman;serif" w:hAnsi="Times New Roman;serif"/>
                  <w:b w:val="false"/>
                  <w:color w:val="0000FF"/>
                  <w:sz w:val="20"/>
                  <w:u w:val="single"/>
                </w:rPr>
                <w:t>Certificate of Amendment to the Articles of Amalgamation of Sphere 3D Corp.</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8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001-36532</w:t>
            </w:r>
          </w:p>
        </w:tc>
        <w:tc>
          <w:tcPr>
            <w:tcW w:w="8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11/8/2019</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3.8</w:t>
            </w:r>
          </w:p>
        </w:tc>
        <w:tc>
          <w:tcPr>
            <w:tcW w:w="643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0">
              <w:r>
                <w:rPr>
                  <w:rStyle w:val="InternetLink"/>
                  <w:rFonts w:ascii="Times New Roman;serif" w:hAnsi="Times New Roman;serif"/>
                  <w:b w:val="false"/>
                  <w:color w:val="0000FF"/>
                  <w:sz w:val="20"/>
                  <w:u w:val="single"/>
                </w:rPr>
                <w:t>Certificate of Amendment to the Articles of Amalgamation of Sphere 3D Corp.</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8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001-36532</w:t>
            </w:r>
          </w:p>
        </w:tc>
        <w:tc>
          <w:tcPr>
            <w:tcW w:w="8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5/8/2020</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3.9</w:t>
            </w:r>
          </w:p>
        </w:tc>
        <w:tc>
          <w:tcPr>
            <w:tcW w:w="6434"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11">
              <w:r>
                <w:rPr>
                  <w:rStyle w:val="InternetLink"/>
                  <w:rFonts w:ascii="Times New Roman;serif" w:hAnsi="Times New Roman;serif"/>
                  <w:b w:val="false"/>
                  <w:color w:val="0000FF"/>
                  <w:sz w:val="20"/>
                  <w:u w:val="single"/>
                </w:rPr>
                <w:t>Certificate of Amendment to the Articles of Amalgamation of Sphere 3D Corp.</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8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001-36532</w:t>
            </w:r>
          </w:p>
        </w:tc>
        <w:tc>
          <w:tcPr>
            <w:tcW w:w="8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9/29/2020</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3.10</w:t>
            </w:r>
          </w:p>
        </w:tc>
        <w:tc>
          <w:tcPr>
            <w:tcW w:w="643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2">
              <w:r>
                <w:rPr>
                  <w:rStyle w:val="InternetLink"/>
                  <w:rFonts w:ascii="Times New Roman;serif" w:hAnsi="Times New Roman;serif"/>
                  <w:b w:val="false"/>
                  <w:color w:val="0000FF"/>
                  <w:sz w:val="20"/>
                  <w:u w:val="single"/>
                </w:rPr>
                <w:t>Certificate of Amendment to the Articles of Amalgamation of Sphere 3D Corp.</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6-K</w:t>
            </w:r>
          </w:p>
        </w:tc>
        <w:tc>
          <w:tcPr>
            <w:tcW w:w="8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001-36532</w:t>
            </w:r>
          </w:p>
        </w:tc>
        <w:tc>
          <w:tcPr>
            <w:tcW w:w="8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1/7/2021</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643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3">
              <w:r>
                <w:rPr>
                  <w:rStyle w:val="InternetLink"/>
                  <w:rFonts w:ascii="Times New Roman;serif" w:hAnsi="Times New Roman;serif"/>
                  <w:b w:val="false"/>
                  <w:color w:val="0000FF"/>
                  <w:sz w:val="20"/>
                  <w:u w:val="single"/>
                </w:rPr>
                <w:t>Certificate of Amendment to the Articles of Amalgamation of Sphere 3D Corp.</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6-K</w:t>
            </w:r>
          </w:p>
        </w:tc>
        <w:tc>
          <w:tcPr>
            <w:tcW w:w="8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001-36532</w:t>
            </w:r>
          </w:p>
        </w:tc>
        <w:tc>
          <w:tcPr>
            <w:tcW w:w="8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7/15/2021</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643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4">
              <w:r>
                <w:rPr>
                  <w:rStyle w:val="InternetLink"/>
                  <w:rFonts w:ascii="Times New Roman;serif" w:hAnsi="Times New Roman;serif"/>
                  <w:b w:val="false"/>
                  <w:color w:val="0000FF"/>
                  <w:sz w:val="20"/>
                  <w:u w:val="single"/>
                </w:rPr>
                <w:t>Certificate of Amendment to the Articles of Amalgamation of Sphere 3D Corp.</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6-K</w:t>
            </w:r>
          </w:p>
        </w:tc>
        <w:tc>
          <w:tcPr>
            <w:tcW w:w="8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001-36532</w:t>
            </w:r>
          </w:p>
        </w:tc>
        <w:tc>
          <w:tcPr>
            <w:tcW w:w="8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10/4/2021</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3.13</w:t>
            </w:r>
          </w:p>
        </w:tc>
        <w:tc>
          <w:tcPr>
            <w:tcW w:w="643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5">
              <w:r>
                <w:rPr>
                  <w:rStyle w:val="InternetLink"/>
                  <w:rFonts w:ascii="Times New Roman;serif" w:hAnsi="Times New Roman;serif"/>
                  <w:b w:val="false"/>
                  <w:color w:val="0000FF"/>
                  <w:sz w:val="20"/>
                  <w:u w:val="single"/>
                </w:rPr>
                <w:t>Certificate of Amendment to the Articles of Amalgamation of Sphere 3D Corp.</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8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001-36532</w:t>
            </w:r>
          </w:p>
        </w:tc>
        <w:tc>
          <w:tcPr>
            <w:tcW w:w="8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6/28/2023</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3.14</w:t>
            </w:r>
          </w:p>
        </w:tc>
        <w:tc>
          <w:tcPr>
            <w:tcW w:w="643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6">
              <w:r>
                <w:rPr>
                  <w:rStyle w:val="InternetLink"/>
                  <w:rFonts w:ascii="Times New Roman;serif" w:hAnsi="Times New Roman;serif"/>
                  <w:b w:val="false"/>
                  <w:color w:val="0000FF"/>
                  <w:sz w:val="20"/>
                  <w:u w:val="single"/>
                </w:rPr>
                <w:t>Certificate of Amendment to the Articles of Amalgamation of Sphere 3D Corp.</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8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001-36532</w:t>
            </w:r>
          </w:p>
        </w:tc>
        <w:tc>
          <w:tcPr>
            <w:tcW w:w="8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2/12/2026</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3.15</w:t>
            </w:r>
          </w:p>
        </w:tc>
        <w:tc>
          <w:tcPr>
            <w:tcW w:w="643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7">
              <w:r>
                <w:rPr>
                  <w:rStyle w:val="InternetLink"/>
                  <w:rFonts w:ascii="Times New Roman;serif" w:hAnsi="Times New Roman;serif"/>
                  <w:b w:val="false"/>
                  <w:color w:val="0000FF"/>
                  <w:sz w:val="20"/>
                  <w:u w:val="single"/>
                </w:rPr>
                <w:t>By-law No. 1, as Amended</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6-K</w:t>
            </w:r>
          </w:p>
        </w:tc>
        <w:tc>
          <w:tcPr>
            <w:tcW w:w="8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001-36532</w:t>
            </w:r>
          </w:p>
        </w:tc>
        <w:tc>
          <w:tcPr>
            <w:tcW w:w="8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7/17/2017</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3.16</w:t>
            </w:r>
          </w:p>
        </w:tc>
        <w:tc>
          <w:tcPr>
            <w:tcW w:w="643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8">
              <w:r>
                <w:rPr>
                  <w:rStyle w:val="InternetLink"/>
                  <w:rFonts w:ascii="Times New Roman;serif" w:hAnsi="Times New Roman;serif"/>
                  <w:b w:val="false"/>
                  <w:color w:val="0000FF"/>
                  <w:sz w:val="20"/>
                  <w:u w:val="single"/>
                </w:rPr>
                <w:t>By-law No. 1 Amending Agreement</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6-K</w:t>
            </w:r>
          </w:p>
        </w:tc>
        <w:tc>
          <w:tcPr>
            <w:tcW w:w="8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001-36532</w:t>
            </w:r>
          </w:p>
        </w:tc>
        <w:tc>
          <w:tcPr>
            <w:tcW w:w="8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2/1/2022</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3.17</w:t>
            </w:r>
          </w:p>
        </w:tc>
        <w:tc>
          <w:tcPr>
            <w:tcW w:w="643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9">
              <w:r>
                <w:rPr>
                  <w:rStyle w:val="InternetLink"/>
                  <w:rFonts w:ascii="Times New Roman;serif" w:hAnsi="Times New Roman;serif"/>
                  <w:b w:val="false"/>
                  <w:color w:val="0000FF"/>
                  <w:sz w:val="20"/>
                  <w:u w:val="single"/>
                </w:rPr>
                <w:t>By-law No. 1 Amending Agreement</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8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001-36532</w:t>
            </w:r>
          </w:p>
        </w:tc>
        <w:tc>
          <w:tcPr>
            <w:tcW w:w="8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1/13/2023</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3.18</w:t>
            </w:r>
          </w:p>
        </w:tc>
        <w:tc>
          <w:tcPr>
            <w:tcW w:w="643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0">
              <w:r>
                <w:rPr>
                  <w:rStyle w:val="InternetLink"/>
                  <w:rFonts w:ascii="Times New Roman;serif" w:hAnsi="Times New Roman;serif"/>
                  <w:b w:val="false"/>
                  <w:color w:val="0000FF"/>
                  <w:sz w:val="20"/>
                  <w:u w:val="single"/>
                </w:rPr>
                <w:t>By-law No. 2</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6-K</w:t>
            </w:r>
          </w:p>
        </w:tc>
        <w:tc>
          <w:tcPr>
            <w:tcW w:w="8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001-36532</w:t>
            </w:r>
          </w:p>
        </w:tc>
        <w:tc>
          <w:tcPr>
            <w:tcW w:w="8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5/12/2017</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643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1">
              <w:r>
                <w:rPr>
                  <w:rStyle w:val="InternetLink"/>
                  <w:rFonts w:ascii="Times New Roman;serif" w:hAnsi="Times New Roman;serif"/>
                  <w:b w:val="false"/>
                  <w:color w:val="0000FF"/>
                  <w:sz w:val="20"/>
                  <w:u w:val="single"/>
                </w:rPr>
                <w:t>Form of Support Agreement</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8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001-36532</w:t>
            </w:r>
          </w:p>
        </w:tc>
        <w:tc>
          <w:tcPr>
            <w:tcW w:w="8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3/11/2026</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643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2">
              <w:r>
                <w:rPr>
                  <w:rStyle w:val="InternetLink"/>
                  <w:rFonts w:ascii="Times New Roman;serif" w:hAnsi="Times New Roman;serif"/>
                  <w:b w:val="false"/>
                  <w:color w:val="0000FF"/>
                  <w:sz w:val="20"/>
                  <w:u w:val="single"/>
                </w:rPr>
                <w:t>Amendment No. 1 to Employment Agreement, dated as of March 5, 2026, by and among Kurt Kalbfleisch and Sphere 3D Corp.</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8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001-36532</w:t>
            </w:r>
          </w:p>
        </w:tc>
        <w:tc>
          <w:tcPr>
            <w:tcW w:w="8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3/11/2026</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120" w:after="283"/>
        <w:ind w:left="0" w:right="0" w:firstLine="540"/>
        <w:jc w:val="left"/>
        <w:rPr/>
      </w:pPr>
      <w:r>
        <w:rPr/>
      </w:r>
    </w:p>
    <w:tbl>
      <w:tblPr>
        <w:tblW w:w="10205" w:type="dxa"/>
        <w:jc w:val="center"/>
        <w:tblInd w:w="0" w:type="dxa"/>
        <w:tblLayout w:type="fixed"/>
        <w:tblCellMar>
          <w:top w:w="28" w:type="dxa"/>
          <w:left w:w="28" w:type="dxa"/>
          <w:bottom w:w="28" w:type="dxa"/>
          <w:right w:w="28" w:type="dxa"/>
        </w:tblCellMar>
      </w:tblPr>
      <w:tblGrid>
        <w:gridCol w:w="281"/>
        <w:gridCol w:w="247"/>
        <w:gridCol w:w="250"/>
        <w:gridCol w:w="2282"/>
        <w:gridCol w:w="2282"/>
        <w:gridCol w:w="2302"/>
        <w:gridCol w:w="259"/>
        <w:gridCol w:w="259"/>
        <w:gridCol w:w="263"/>
        <w:gridCol w:w="223"/>
        <w:gridCol w:w="193"/>
        <w:gridCol w:w="165"/>
        <w:gridCol w:w="178"/>
        <w:gridCol w:w="166"/>
        <w:gridCol w:w="166"/>
        <w:gridCol w:w="241"/>
        <w:gridCol w:w="185"/>
        <w:gridCol w:w="263"/>
      </w:tblGrid>
      <w:tr>
        <w:trPr/>
        <w:tc>
          <w:tcPr>
            <w:tcW w:w="28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2302"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w:t>
            </w:r>
          </w:p>
        </w:tc>
        <w:tc>
          <w:tcPr>
            <w:tcW w:w="6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Filed</w:t>
            </w:r>
          </w:p>
        </w:tc>
        <w:tc>
          <w:tcPr>
            <w:tcW w:w="17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Number</w:t>
            </w:r>
          </w:p>
        </w:tc>
        <w:tc>
          <w:tcPr>
            <w:tcW w:w="68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Herewith</w:t>
            </w:r>
          </w:p>
        </w:tc>
        <w:tc>
          <w:tcPr>
            <w:tcW w:w="5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Form</w:t>
            </w:r>
          </w:p>
        </w:tc>
        <w:tc>
          <w:tcPr>
            <w:tcW w:w="5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 No.</w:t>
            </w:r>
          </w:p>
        </w:tc>
        <w:tc>
          <w:tcPr>
            <w:tcW w:w="6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Date Filed</w:t>
            </w:r>
          </w:p>
        </w:tc>
      </w:tr>
      <w:tr>
        <w:trPr/>
        <w:tc>
          <w:tcPr>
            <w:tcW w:w="7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686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13312026.htm">
              <w:r>
                <w:rPr>
                  <w:rStyle w:val="InternetLink"/>
                  <w:rFonts w:ascii="Times New Roman;serif" w:hAnsi="Times New Roman;serif"/>
                  <w:b w:val="false"/>
                  <w:color w:val="0000FF"/>
                  <w:sz w:val="20"/>
                  <w:u w:val="single"/>
                </w:rPr>
                <w:t>Certification of Chief Executive Officer pursuant to Section 302 of the Sarbanes-Oxley Act of 2002</w:t>
              </w:r>
            </w:hyperlink>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 w:type="dxa"/>
            <w:gridSpan w:val="3"/>
            <w:tcBorders/>
            <w:vAlign w:val="center"/>
          </w:tcPr>
          <w:p>
            <w:pPr>
              <w:pStyle w:val="TableContents"/>
              <w:bidi w:val="0"/>
              <w:spacing w:before="0" w:after="283"/>
              <w:jc w:val="left"/>
              <w:rPr>
                <w:sz w:val="4"/>
                <w:szCs w:val="4"/>
              </w:rPr>
            </w:pPr>
            <w:r>
              <w:rPr>
                <w:sz w:val="4"/>
                <w:szCs w:val="4"/>
              </w:rPr>
            </w:r>
          </w:p>
        </w:tc>
        <w:tc>
          <w:tcPr>
            <w:tcW w:w="686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581" w:type="dxa"/>
            <w:gridSpan w:val="3"/>
            <w:tcBorders/>
            <w:vAlign w:val="center"/>
          </w:tcPr>
          <w:p>
            <w:pPr>
              <w:pStyle w:val="TableContents"/>
              <w:bidi w:val="0"/>
              <w:spacing w:before="0" w:after="283"/>
              <w:jc w:val="left"/>
              <w:rPr>
                <w:sz w:val="4"/>
                <w:szCs w:val="4"/>
              </w:rPr>
            </w:pPr>
            <w:r>
              <w:rPr>
                <w:sz w:val="4"/>
                <w:szCs w:val="4"/>
              </w:rPr>
            </w:r>
          </w:p>
        </w:tc>
        <w:tc>
          <w:tcPr>
            <w:tcW w:w="1199" w:type="dxa"/>
            <w:gridSpan w:val="6"/>
            <w:tcBorders/>
          </w:tcPr>
          <w:p>
            <w:pPr>
              <w:pStyle w:val="TableContents"/>
              <w:bidi w:val="0"/>
              <w:spacing w:before="0" w:after="283"/>
              <w:jc w:val="left"/>
              <w:rPr>
                <w:sz w:val="4"/>
                <w:szCs w:val="4"/>
              </w:rPr>
            </w:pPr>
            <w:r>
              <w:rPr>
                <w:sz w:val="4"/>
                <w:szCs w:val="4"/>
              </w:rPr>
            </w:r>
          </w:p>
        </w:tc>
      </w:tr>
      <w:tr>
        <w:trPr/>
        <w:tc>
          <w:tcPr>
            <w:tcW w:w="778" w:type="dxa"/>
            <w:gridSpan w:val="3"/>
            <w:tcBorders/>
            <w:vAlign w:val="center"/>
          </w:tcPr>
          <w:p>
            <w:pPr>
              <w:pStyle w:val="TableContents"/>
              <w:bidi w:val="0"/>
              <w:spacing w:before="0" w:after="283"/>
              <w:jc w:val="left"/>
              <w:rPr>
                <w:sz w:val="4"/>
                <w:szCs w:val="4"/>
              </w:rPr>
            </w:pPr>
            <w:r>
              <w:rPr>
                <w:sz w:val="4"/>
                <w:szCs w:val="4"/>
              </w:rPr>
            </w:r>
          </w:p>
        </w:tc>
        <w:tc>
          <w:tcPr>
            <w:tcW w:w="686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581"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689" w:type="dxa"/>
            <w:gridSpan w:val="3"/>
            <w:tcBorders/>
            <w:vAlign w:val="center"/>
          </w:tcPr>
          <w:p>
            <w:pPr>
              <w:pStyle w:val="TableContents"/>
              <w:bidi w:val="0"/>
              <w:spacing w:before="0" w:after="283"/>
              <w:jc w:val="left"/>
              <w:rPr>
                <w:sz w:val="4"/>
                <w:szCs w:val="4"/>
              </w:rPr>
            </w:pPr>
            <w:r>
              <w:rPr>
                <w:sz w:val="4"/>
                <w:szCs w:val="4"/>
              </w:rPr>
            </w:r>
          </w:p>
        </w:tc>
      </w:tr>
      <w:tr>
        <w:trPr/>
        <w:tc>
          <w:tcPr>
            <w:tcW w:w="778" w:type="dxa"/>
            <w:gridSpan w:val="3"/>
            <w:tcBorders/>
            <w:vAlign w:val="center"/>
          </w:tcPr>
          <w:p>
            <w:pPr>
              <w:pStyle w:val="TableContents"/>
              <w:bidi w:val="0"/>
              <w:spacing w:before="0" w:after="283"/>
              <w:jc w:val="left"/>
              <w:rPr>
                <w:sz w:val="4"/>
                <w:szCs w:val="4"/>
              </w:rPr>
            </w:pPr>
            <w:r>
              <w:rPr>
                <w:sz w:val="4"/>
                <w:szCs w:val="4"/>
              </w:rPr>
            </w:r>
          </w:p>
        </w:tc>
        <w:tc>
          <w:tcPr>
            <w:tcW w:w="686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581"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689" w:type="dxa"/>
            <w:gridSpan w:val="3"/>
            <w:tcBorders/>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686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23312026.htm">
              <w:r>
                <w:rPr>
                  <w:rStyle w:val="InternetLink"/>
                  <w:rFonts w:ascii="Times New Roman;serif" w:hAnsi="Times New Roman;serif"/>
                  <w:b w:val="false"/>
                  <w:color w:val="0000FF"/>
                  <w:sz w:val="20"/>
                  <w:u w:val="single"/>
                </w:rPr>
                <w:t>Certification of Chief Accounting Officer pursuant to Section 302 of the Sarbanes-Oxley Act of 2002</w:t>
              </w:r>
            </w:hyperlink>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686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213312026.htm">
              <w:r>
                <w:rPr>
                  <w:rStyle w:val="InternetLink"/>
                  <w:rFonts w:ascii="Times New Roman;serif" w:hAnsi="Times New Roman;serif"/>
                  <w:b w:val="false"/>
                  <w:color w:val="0000FF"/>
                  <w:sz w:val="20"/>
                  <w:u w:val="single"/>
                </w:rPr>
                <w:t>Certification of Chief Executive Officer pursuant to 18 U.S.C. Section 1350, as adopted pursuant to Section 906 of the Sarbanes-Oxley Act of 2002</w:t>
              </w:r>
            </w:hyperlink>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686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223312026.htm">
              <w:r>
                <w:rPr>
                  <w:rStyle w:val="InternetLink"/>
                  <w:rFonts w:ascii="Times New Roman;serif" w:hAnsi="Times New Roman;serif"/>
                  <w:b w:val="false"/>
                  <w:color w:val="0000FF"/>
                  <w:sz w:val="20"/>
                  <w:u w:val="single"/>
                </w:rPr>
                <w:t>Certification of Chief Accounting Officer pursuant to 18 U.S.C. Section 1350, as adopted pursuant to Section 906 of the Sarbanes-Oxley Act of 2002</w:t>
              </w:r>
            </w:hyperlink>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686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686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Schema</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686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686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686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686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Presentation Linkbase</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86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as contained in Exhibit 101)</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120" w:after="283"/>
        <w:ind w:left="0" w:right="0" w:hanging="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Certain of the schedules to this exhibit have been omitted in accordance with Regulation S-K Item 601(a)(5). Sphere agrees to furnish supplementally a copy of all omitted exhibits and schedules to the Securities and Exchange Commission upon its request.</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Management contract or compensation plan or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474" w:type="dxa"/>
        <w:jc w:val="left"/>
        <w:tblInd w:w="0" w:type="dxa"/>
        <w:tblLayout w:type="fixed"/>
        <w:tblCellMar>
          <w:top w:w="28" w:type="dxa"/>
          <w:left w:w="28" w:type="dxa"/>
          <w:bottom w:w="28" w:type="dxa"/>
          <w:right w:w="28" w:type="dxa"/>
        </w:tblCellMar>
      </w:tblPr>
      <w:tblGrid>
        <w:gridCol w:w="200"/>
        <w:gridCol w:w="177"/>
        <w:gridCol w:w="178"/>
        <w:gridCol w:w="414"/>
        <w:gridCol w:w="414"/>
        <w:gridCol w:w="417"/>
        <w:gridCol w:w="109"/>
        <w:gridCol w:w="109"/>
        <w:gridCol w:w="109"/>
        <w:gridCol w:w="239"/>
        <w:gridCol w:w="239"/>
        <w:gridCol w:w="239"/>
        <w:gridCol w:w="1050"/>
        <w:gridCol w:w="1050"/>
        <w:gridCol w:w="153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4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Sphere 3D Corp.</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15,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Kurt L. Kalbfleisch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Kurt L. Kalbfleisch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and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22885"/>
                <wp:effectExtent l="0" t="0" r="0" b="0"/>
                <wp:wrapNone/>
                <wp:docPr id="30" name="Frame3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18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288" w:before="180" w:after="283"/>
        <w:jc w:val="left"/>
        <w:rPr/>
      </w:pPr>
      <w:r>
        <w:rPr>
          <w:rFonts w:ascii="Times New Roman;serif" w:hAnsi="Times New Roman;serif"/>
          <w:b w:val="false"/>
          <w:color w:val="000000"/>
          <w:sz w:val="20"/>
        </w:rPr>
        <w:t xml:space="preserve">I, Kurt L. Kalbfleisch, Chief Executive Officer of Sphere 3D Corp. certify that: </w:t>
      </w:r>
      <w:r>
        <w:rPr>
          <w:color w:val="000000"/>
        </w:rPr>
        <w:t> </w:t>
      </w:r>
    </w:p>
    <w:tbl>
      <w:tblPr>
        <w:tblW w:w="6236" w:type="dxa"/>
        <w:jc w:val="left"/>
        <w:tblInd w:w="0" w:type="dxa"/>
        <w:tblLayout w:type="fixed"/>
        <w:tblCellMar>
          <w:top w:w="28" w:type="dxa"/>
          <w:left w:w="28" w:type="dxa"/>
          <w:bottom w:w="28" w:type="dxa"/>
          <w:right w:w="28" w:type="dxa"/>
        </w:tblCellMar>
      </w:tblPr>
      <w:tblGrid>
        <w:gridCol w:w="124"/>
        <w:gridCol w:w="109"/>
        <w:gridCol w:w="109"/>
        <w:gridCol w:w="1723"/>
        <w:gridCol w:w="1723"/>
        <w:gridCol w:w="24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24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 have reviewed this quarterly report on Form 10-Q of Sphere 3D Corp.;</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1"/>
        <w:gridCol w:w="2881"/>
        <w:gridCol w:w="41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41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Any fraud, whether or not material, that involves management or other employees who have a significant role in the registrant’s internal control over financial reporting. </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May 15, 2026 </w:t>
      </w:r>
    </w:p>
    <w:tbl>
      <w:tblPr>
        <w:tblW w:w="2086" w:type="dxa"/>
        <w:jc w:val="left"/>
        <w:tblInd w:w="0" w:type="dxa"/>
        <w:tblLayout w:type="fixed"/>
        <w:tblCellMar>
          <w:top w:w="28" w:type="dxa"/>
          <w:left w:w="28" w:type="dxa"/>
          <w:bottom w:w="28" w:type="dxa"/>
          <w:right w:w="28" w:type="dxa"/>
        </w:tblCellMar>
      </w:tblPr>
      <w:tblGrid>
        <w:gridCol w:w="666"/>
        <w:gridCol w:w="585"/>
        <w:gridCol w:w="835"/>
      </w:tblGrid>
      <w:tr>
        <w:trPr/>
        <w:tc>
          <w:tcPr>
            <w:tcW w:w="66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208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 </w:t>
            </w:r>
            <w:r>
              <w:rPr>
                <w:rFonts w:ascii="Times New Roman;serif" w:hAnsi="Times New Roman;serif"/>
                <w:b w:val="false"/>
                <w:i/>
                <w:color w:val="000000"/>
                <w:sz w:val="20"/>
              </w:rPr>
              <w:t>Kurt L. Kalbfleisch</w:t>
            </w:r>
          </w:p>
        </w:tc>
      </w:tr>
      <w:tr>
        <w:trPr/>
        <w:tc>
          <w:tcPr>
            <w:tcW w:w="2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80" w:after="283"/>
              <w:jc w:val="left"/>
              <w:rPr>
                <w:rFonts w:ascii="Times New Roman;serif" w:hAnsi="Times New Roman;serif"/>
                <w:b w:val="false"/>
                <w:color w:val="000000"/>
                <w:sz w:val="20"/>
              </w:rPr>
            </w:pPr>
            <w:r>
              <w:rPr>
                <w:rFonts w:ascii="Times New Roman;serif" w:hAnsi="Times New Roman;serif"/>
                <w:b w:val="false"/>
                <w:color w:val="000000"/>
                <w:sz w:val="20"/>
              </w:rPr>
              <w:t>Kurt L. Kalbfleisch</w:t>
            </w:r>
          </w:p>
        </w:tc>
      </w:tr>
      <w:tr>
        <w:trPr/>
        <w:tc>
          <w:tcPr>
            <w:tcW w:w="20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ACCOUNTING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288" w:before="180" w:after="283"/>
        <w:jc w:val="left"/>
        <w:rPr/>
      </w:pPr>
      <w:r>
        <w:rPr>
          <w:rFonts w:ascii="Times New Roman;serif" w:hAnsi="Times New Roman;serif"/>
          <w:b w:val="false"/>
          <w:color w:val="000000"/>
          <w:sz w:val="20"/>
        </w:rPr>
        <w:t xml:space="preserve">I, Tiah Reppas, Chief Accounting Officer of Sphere 3D Corp. certify that: </w:t>
      </w:r>
      <w:r>
        <w:rPr>
          <w:color w:val="000000"/>
        </w:rPr>
        <w:t> </w:t>
      </w:r>
    </w:p>
    <w:tbl>
      <w:tblPr>
        <w:tblW w:w="6236" w:type="dxa"/>
        <w:jc w:val="left"/>
        <w:tblInd w:w="0" w:type="dxa"/>
        <w:tblLayout w:type="fixed"/>
        <w:tblCellMar>
          <w:top w:w="28" w:type="dxa"/>
          <w:left w:w="28" w:type="dxa"/>
          <w:bottom w:w="28" w:type="dxa"/>
          <w:right w:w="28" w:type="dxa"/>
        </w:tblCellMar>
      </w:tblPr>
      <w:tblGrid>
        <w:gridCol w:w="124"/>
        <w:gridCol w:w="109"/>
        <w:gridCol w:w="109"/>
        <w:gridCol w:w="1723"/>
        <w:gridCol w:w="1723"/>
        <w:gridCol w:w="24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24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 have reviewed this quarterly report on Form 10-Q of Sphere 3D Corp.;</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0"/>
        <w:gridCol w:w="2880"/>
        <w:gridCol w:w="4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Any fraud, whether or not material, that involves management or other employees who have a significant role in the registrant’s internal control over financial reporting. </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May 15, 2026 </w:t>
      </w:r>
    </w:p>
    <w:tbl>
      <w:tblPr>
        <w:tblW w:w="2221" w:type="dxa"/>
        <w:jc w:val="left"/>
        <w:tblInd w:w="0" w:type="dxa"/>
        <w:tblLayout w:type="fixed"/>
        <w:tblCellMar>
          <w:top w:w="28" w:type="dxa"/>
          <w:left w:w="28" w:type="dxa"/>
          <w:bottom w:w="28" w:type="dxa"/>
          <w:right w:w="28" w:type="dxa"/>
        </w:tblCellMar>
      </w:tblPr>
      <w:tblGrid>
        <w:gridCol w:w="710"/>
        <w:gridCol w:w="622"/>
        <w:gridCol w:w="889"/>
      </w:tblGrid>
      <w:tr>
        <w:trPr/>
        <w:tc>
          <w:tcPr>
            <w:tcW w:w="710"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r>
      <w:tr>
        <w:trPr/>
        <w:tc>
          <w:tcPr>
            <w:tcW w:w="222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 </w:t>
            </w:r>
            <w:r>
              <w:rPr>
                <w:rFonts w:ascii="Times New Roman;serif" w:hAnsi="Times New Roman;serif"/>
                <w:b w:val="false"/>
                <w:i/>
                <w:color w:val="000000"/>
                <w:sz w:val="20"/>
              </w:rPr>
              <w:t>Tiah Reppas</w:t>
            </w:r>
          </w:p>
        </w:tc>
      </w:tr>
      <w:tr>
        <w:trPr/>
        <w:tc>
          <w:tcPr>
            <w:tcW w:w="2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Tiah Reppas</w:t>
            </w:r>
          </w:p>
        </w:tc>
      </w:tr>
      <w:tr>
        <w:trPr/>
        <w:tc>
          <w:tcPr>
            <w:tcW w:w="22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83"/>
        <w:ind w:left="0" w:right="0" w:firstLine="54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 xml:space="preserve">CERTIFICATION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18 U.S.C. SECTION. 1350, AS ADOPTED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SECTION 906 OF THE SARBANES-OXLEY ACT OF 2002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of Sphere 3D Corp. (the “Registrant”) on Form 10-Q for the quarterly period ended March 31, 2026, as filed with the Securities and Exchange Commission on the date hereof (the “Report”), I, Kurt L. Kalbfleisch, Chief Executive Officer of the Registrant, certify pursuant to 18 U.S.C. § 1350, as adopted pursuant to § 906 of the Sarbanes-Oxley Act of 2002, that, to my knowledge: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Report fully complies with the requirements of Section 13(a) or Section 15(d) of the Securities Exchange Act of 1934 (15 U.S.C. 78m);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information contained in the Report fairly presents, in all material respects, the financial condition and results of operations of the Registrant.</w:t>
            </w:r>
          </w:p>
        </w:tc>
      </w:tr>
    </w:tbl>
    <w:p>
      <w:pPr>
        <w:pStyle w:val="TextBody"/>
        <w:bidi w:val="0"/>
        <w:spacing w:before="0" w:after="0"/>
        <w:ind w:left="0" w:right="0" w:firstLine="540"/>
        <w:jc w:val="center"/>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Date: May 15, 2026</w:t>
      </w:r>
    </w:p>
    <w:tbl>
      <w:tblPr>
        <w:tblW w:w="2084" w:type="dxa"/>
        <w:jc w:val="center"/>
        <w:tblInd w:w="0" w:type="dxa"/>
        <w:tblLayout w:type="fixed"/>
        <w:tblCellMar>
          <w:top w:w="28" w:type="dxa"/>
          <w:left w:w="28" w:type="dxa"/>
          <w:bottom w:w="28" w:type="dxa"/>
          <w:right w:w="28" w:type="dxa"/>
        </w:tblCellMar>
      </w:tblPr>
      <w:tblGrid>
        <w:gridCol w:w="666"/>
        <w:gridCol w:w="585"/>
        <w:gridCol w:w="833"/>
      </w:tblGrid>
      <w:tr>
        <w:trPr/>
        <w:tc>
          <w:tcPr>
            <w:tcW w:w="66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 </w:t>
            </w:r>
            <w:r>
              <w:rPr>
                <w:rFonts w:ascii="Times New Roman;serif" w:hAnsi="Times New Roman;serif"/>
                <w:b w:val="false"/>
                <w:i/>
                <w:color w:val="000000"/>
                <w:sz w:val="20"/>
              </w:rPr>
              <w:t>Kurt L. Kalbfleisch</w:t>
            </w:r>
          </w:p>
        </w:tc>
      </w:tr>
      <w:tr>
        <w:trPr/>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80" w:after="283"/>
              <w:jc w:val="left"/>
              <w:rPr>
                <w:rFonts w:ascii="Times New Roman;serif" w:hAnsi="Times New Roman;serif"/>
                <w:b w:val="false"/>
                <w:color w:val="000000"/>
                <w:sz w:val="20"/>
              </w:rPr>
            </w:pPr>
            <w:r>
              <w:rPr>
                <w:rFonts w:ascii="Times New Roman;serif" w:hAnsi="Times New Roman;serif"/>
                <w:b w:val="false"/>
                <w:color w:val="000000"/>
                <w:sz w:val="20"/>
              </w:rPr>
              <w:t>Kurt L. Kalbfleisch</w:t>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80" w:after="283"/>
        <w:ind w:left="0" w:right="0" w:firstLine="540"/>
        <w:jc w:val="both"/>
        <w:rPr/>
      </w:pPr>
      <w:r>
        <w:rPr/>
      </w:r>
    </w:p>
    <w:p>
      <w:pPr>
        <w:pStyle w:val="TextBody"/>
        <w:bidi w:val="0"/>
        <w:spacing w:before="120" w:after="283"/>
        <w:ind w:left="0" w:right="0" w:firstLine="540"/>
        <w:jc w:val="left"/>
        <w:rPr/>
      </w:pPr>
      <w:r>
        <w:rPr/>
      </w:r>
    </w:p>
    <w:p>
      <w:pPr>
        <w:pStyle w:val="TextBody"/>
        <w:bidi w:val="0"/>
        <w:spacing w:before="100" w:after="100"/>
        <w:jc w:val="right"/>
        <w:rPr/>
      </w:pPr>
      <w:r>
        <w:rPr/>
      </w:r>
    </w:p>
    <w:p>
      <w:pPr>
        <w:pStyle w:val="TextBody"/>
        <w:bidi w:val="0"/>
        <w:spacing w:before="120" w:after="283"/>
        <w:ind w:left="0" w:right="0" w:firstLine="5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51460"/>
                <wp:effectExtent l="0" t="0" r="0" b="0"/>
                <wp:wrapNone/>
                <wp:docPr id="33" name="Frame33"/>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0" w:right="0" w:firstLine="540"/>
                        <w:jc w:val="left"/>
                        <w:rPr/>
                      </w:pPr>
                      <w:r>
                        <w:rPr/>
                      </w:r>
                    </w:p>
                  </w:txbxContent>
                </v:textbox>
                <w10:wrap type="none"/>
              </v:rect>
            </w:pict>
          </mc:Fallback>
        </mc:AlternateContent>
      </w:r>
    </w:p>
    <w:p>
      <w:pPr>
        <w:pStyle w:val="TextBody"/>
        <w:bidi w:val="0"/>
        <w:spacing w:lineRule="auto" w:line="288" w:before="100" w:after="283"/>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 xml:space="preserve">CERTIFICATION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18 U.S.C. SECTION. 1350, AS ADOPTED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SECTION 906 OF THE SARBANES-OXLEY ACT OF 2002 </w:t>
      </w:r>
    </w:p>
    <w:p>
      <w:pPr>
        <w:pStyle w:val="TextBody"/>
        <w:bidi w:val="0"/>
        <w:spacing w:lineRule="auto" w:line="288" w:before="8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Sphere 3D Corp. (the “Registrant”) on Form 10-Q for the quarterly period ended March 31, 2026, as filed with the Securities and Exchange Commission on the date hereof (the “Report”), I, Tiah Reppas, Chief Accounting Officer of the Registrant, certify pursuant to 18 U.S.C. § 1350, as adopted pursuant to § 906 of the Sarbanes-Oxley Act of 2002, that, to my knowledge: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Report fully complies with the requirements of Section 13(a) or Section 15(d) of the Securities Exchange Act of 1934 (15 U.S.C. 78m);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information contained in the Report fairly presents, in all material respects, the financial condition and results of operations of the Registrant.</w:t>
            </w:r>
          </w:p>
        </w:tc>
      </w:tr>
    </w:tbl>
    <w:p>
      <w:pPr>
        <w:pStyle w:val="TextBody"/>
        <w:bidi w:val="0"/>
        <w:spacing w:before="0" w:after="0"/>
        <w:jc w:val="center"/>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Date: May 15, 2026</w:t>
      </w:r>
    </w:p>
    <w:tbl>
      <w:tblPr>
        <w:tblW w:w="2220" w:type="dxa"/>
        <w:jc w:val="center"/>
        <w:tblInd w:w="0" w:type="dxa"/>
        <w:tblLayout w:type="fixed"/>
        <w:tblCellMar>
          <w:top w:w="28" w:type="dxa"/>
          <w:left w:w="28" w:type="dxa"/>
          <w:bottom w:w="28" w:type="dxa"/>
          <w:right w:w="28" w:type="dxa"/>
        </w:tblCellMar>
      </w:tblPr>
      <w:tblGrid>
        <w:gridCol w:w="709"/>
        <w:gridCol w:w="622"/>
        <w:gridCol w:w="889"/>
      </w:tblGrid>
      <w:tr>
        <w:trPr/>
        <w:tc>
          <w:tcPr>
            <w:tcW w:w="70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 </w:t>
            </w:r>
            <w:r>
              <w:rPr>
                <w:rFonts w:ascii="Times New Roman;serif" w:hAnsi="Times New Roman;serif"/>
                <w:b w:val="false"/>
                <w:i/>
                <w:color w:val="000000"/>
                <w:sz w:val="20"/>
              </w:rPr>
              <w:t>Tiah Reppas</w:t>
            </w:r>
          </w:p>
        </w:tc>
      </w:tr>
      <w:tr>
        <w:trPr/>
        <w:tc>
          <w:tcPr>
            <w:tcW w:w="2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Tiah Reppas</w:t>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Accounting Officer</w:t>
            </w:r>
          </w:p>
        </w:tc>
      </w:tr>
    </w:tbl>
    <w:p>
      <w:pPr>
        <w:pStyle w:val="TextBody"/>
        <w:bidi w:val="0"/>
        <w:spacing w:before="0" w:after="0"/>
        <w:jc w:val="center"/>
        <w:rPr/>
      </w:pPr>
      <w:r>
        <w:rPr/>
      </w:r>
    </w:p>
    <w:p>
      <w:pPr>
        <w:pStyle w:val="TextBody"/>
        <w:bidi w:val="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91956/000106299326001384/exhibit2-1.htm" TargetMode="External"/><Relationship Id="rId3" Type="http://schemas.openxmlformats.org/officeDocument/2006/relationships/hyperlink" Target="https://www.sec.gov/Archives/edgar/data/1591956/000119312515105058/d897095dex993.htm" TargetMode="External"/><Relationship Id="rId4" Type="http://schemas.openxmlformats.org/officeDocument/2006/relationships/hyperlink" Target="https://www.sec.gov/Archives/edgar/data/1591956/000106299317003260/exhibit99-1.htm" TargetMode="External"/><Relationship Id="rId5" Type="http://schemas.openxmlformats.org/officeDocument/2006/relationships/hyperlink" Target="https://www.sec.gov/Archives/edgar/data/1591956/000106299318003956/exhibit3-1.htm" TargetMode="External"/><Relationship Id="rId6" Type="http://schemas.openxmlformats.org/officeDocument/2006/relationships/hyperlink" Target="https://www.sec.gov/Archives/edgar/data/1591956/000106299318004366/exhibit3-1.htm" TargetMode="External"/><Relationship Id="rId7" Type="http://schemas.openxmlformats.org/officeDocument/2006/relationships/hyperlink" Target="https://www.sec.gov/Archives/edgar/data/1591956/000106299318004583/exhibit3-1.htm" TargetMode="External"/><Relationship Id="rId8" Type="http://schemas.openxmlformats.org/officeDocument/2006/relationships/hyperlink" Target="https://www.sec.gov/Archives/edgar/data/1591956/000106299319002894/exhibit3-1.htm" TargetMode="External"/><Relationship Id="rId9" Type="http://schemas.openxmlformats.org/officeDocument/2006/relationships/hyperlink" Target="https://www.sec.gov/Archives/edgar/data/1591956/000106299319004258/exhibit3-1.htm" TargetMode="External"/><Relationship Id="rId10" Type="http://schemas.openxmlformats.org/officeDocument/2006/relationships/hyperlink" Target="https://www.sec.gov/Archives/edgar/data/1591956/000106299320002195/exhibit3-1.htm" TargetMode="External"/><Relationship Id="rId11" Type="http://schemas.openxmlformats.org/officeDocument/2006/relationships/hyperlink" Target="https://www.sec.gov/Archives/edgar/data/1591956/000106299320004681/exhibit3-1.htm" TargetMode="External"/><Relationship Id="rId12" Type="http://schemas.openxmlformats.org/officeDocument/2006/relationships/hyperlink" Target="https://www.sec.gov/Archives/edgar/data/1591956/000106299321000191/exhibit99-3.htm" TargetMode="External"/><Relationship Id="rId13" Type="http://schemas.openxmlformats.org/officeDocument/2006/relationships/hyperlink" Target="https://www.sec.gov/Archives/edgar/data/1591956/000106299321006541/exhibit99-4.htm" TargetMode="External"/><Relationship Id="rId14" Type="http://schemas.openxmlformats.org/officeDocument/2006/relationships/hyperlink" Target="https://www.sec.gov/Archives/edgar/data/1591956/000106299321009213/exhibit99-3.htm" TargetMode="External"/><Relationship Id="rId15" Type="http://schemas.openxmlformats.org/officeDocument/2006/relationships/hyperlink" Target="https://www.sec.gov/Archives/edgar/data/1591956/000106299323014107/exhibit3-1.htm" TargetMode="External"/><Relationship Id="rId16" Type="http://schemas.openxmlformats.org/officeDocument/2006/relationships/hyperlink" Target="https://www.sec.gov/Archives/edgar/data/1591956/000106299326000850/exhibit3-1.htm" TargetMode="External"/><Relationship Id="rId17" Type="http://schemas.openxmlformats.org/officeDocument/2006/relationships/hyperlink" Target="https://www.sec.gov/Archives/edgar/data/1591956/000106299317003260/exhibit99-3.htm" TargetMode="External"/><Relationship Id="rId18" Type="http://schemas.openxmlformats.org/officeDocument/2006/relationships/hyperlink" Target="https://www.sec.gov/Archives/edgar/data/1591956/000106299322001880/exhibit99-1.htm" TargetMode="External"/><Relationship Id="rId19" Type="http://schemas.openxmlformats.org/officeDocument/2006/relationships/hyperlink" Target="https://www.sec.gov/Archives/edgar/data/1591956/000106299323000912/exhibit3-1.htm" TargetMode="External"/><Relationship Id="rId20" Type="http://schemas.openxmlformats.org/officeDocument/2006/relationships/hyperlink" Target="https://www.sec.gov/Archives/edgar/data/1591956/000106299317002431/exhibit99-1.htm" TargetMode="External"/><Relationship Id="rId21" Type="http://schemas.openxmlformats.org/officeDocument/2006/relationships/hyperlink" Target="https://www.sec.gov/Archives/edgar/data/1591956/000106299326001384/exhibit10-1.htm" TargetMode="External"/><Relationship Id="rId22" Type="http://schemas.openxmlformats.org/officeDocument/2006/relationships/hyperlink" Target="https://www.sec.gov/Archives/edgar/data/1591956/000106299326001384/exhibit10-2.htm"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13726</Words>
  <Characters>75664</Characters>
  <CharactersWithSpaces>88602</CharactersWithSpaces>
  <Paragraphs>1283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