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5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120" w:after="283"/>
        <w:ind w:left="0" w:right="0" w:firstLine="540"/>
        <w:jc w:val="left"/>
        <w:rPr/>
      </w:pPr>
      <w:r>
        <w:rPr>
          <w:color w:val="000000"/>
        </w:rPr>
        <w:t xml:space="preserve">☒ </w:t>
      </w:r>
      <w:r>
        <w:rPr>
          <w:rFonts w:ascii="Times New Roman;serif" w:hAnsi="Times New Roman;serif"/>
          <w:b w:val="false"/>
          <w:color w:val="000000"/>
          <w:sz w:val="18"/>
        </w:rPr>
        <w:t>QUARTERLY REPORT PURSUANT TO SECTION 13 OR 15(d) OF THE SECURITIES EXCHANGE ACT OF 1934</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0" w:after="0"/>
        <w:ind w:left="0" w:right="0" w:firstLine="540"/>
        <w:jc w:val="center"/>
        <w:rPr/>
      </w:pPr>
      <w:r>
        <w:rPr>
          <w:rFonts w:ascii="Times New Roman;serif" w:hAnsi="Times New Roman;serif"/>
          <w:b w:val="false"/>
          <w:color w:val="000000"/>
          <w:sz w:val="20"/>
        </w:rPr>
        <w:t>or</w:t>
      </w:r>
      <w:r>
        <w:rPr>
          <w:color w:val="000000"/>
        </w:rPr>
        <w:t>            </w:t>
      </w:r>
    </w:p>
    <w:p>
      <w:pPr>
        <w:pStyle w:val="TextBody"/>
        <w:bidi w:val="0"/>
        <w:spacing w:lineRule="auto" w:line="288" w:before="0" w:after="0"/>
        <w:ind w:left="0" w:right="0" w:firstLine="540"/>
        <w:jc w:val="left"/>
        <w:rPr/>
      </w:pPr>
      <w:r>
        <w:rPr>
          <w:color w:val="000000"/>
        </w:rPr>
        <w:t xml:space="preserve">☐ </w:t>
      </w:r>
      <w:r>
        <w:rPr>
          <w:rFonts w:ascii="Times New Roman;serif" w:hAnsi="Times New Roman;serif"/>
          <w:b w:val="false"/>
          <w:color w:val="000000"/>
          <w:sz w:val="18"/>
        </w:rPr>
        <w:t>TRANSITION REPORT PURSUANT TO SECTION 13 OR 15(d) OF THE SECURITIES EXCHANGE ACT OF 1934</w:t>
      </w:r>
    </w:p>
    <w:p>
      <w:pPr>
        <w:pStyle w:val="TextBody"/>
        <w:bidi w:val="0"/>
        <w:spacing w:lineRule="auto" w:line="288" w:before="6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For the transition period from___________________________to ___________________________</w:t>
      </w:r>
    </w:p>
    <w:p>
      <w:pPr>
        <w:pStyle w:val="TextBody"/>
        <w:bidi w:val="0"/>
        <w:spacing w:lineRule="auto" w:line="288" w:before="60" w:after="283"/>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001-36532</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p>
      <w:pPr>
        <w:pStyle w:val="TextBody"/>
        <w:bidi w:val="0"/>
        <w:spacing w:lineRule="auto" w:line="288" w:before="60" w:after="283"/>
        <w:ind w:left="0" w:right="0" w:firstLine="540"/>
        <w:jc w:val="center"/>
        <w:rPr>
          <w:rFonts w:ascii="Times New Roman;serif" w:hAnsi="Times New Roman;serif"/>
          <w:b/>
          <w:color w:val="000000"/>
          <w:sz w:val="28"/>
        </w:rPr>
      </w:pPr>
      <w:r>
        <w:rPr>
          <w:rFonts w:ascii="Times New Roman;serif" w:hAnsi="Times New Roman;serif"/>
          <w:b/>
          <w:color w:val="000000"/>
          <w:sz w:val="28"/>
        </w:rPr>
        <w:t>Sphere 3D Corp.</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tbl>
      <w:tblPr>
        <w:tblW w:w="7315" w:type="dxa"/>
        <w:jc w:val="center"/>
        <w:tblInd w:w="0" w:type="dxa"/>
        <w:tblLayout w:type="fixed"/>
        <w:tblCellMar>
          <w:top w:w="28" w:type="dxa"/>
          <w:left w:w="28" w:type="dxa"/>
          <w:bottom w:w="28" w:type="dxa"/>
          <w:right w:w="28" w:type="dxa"/>
        </w:tblCellMar>
      </w:tblPr>
      <w:tblGrid>
        <w:gridCol w:w="1610"/>
        <w:gridCol w:w="1419"/>
        <w:gridCol w:w="1425"/>
        <w:gridCol w:w="109"/>
        <w:gridCol w:w="109"/>
        <w:gridCol w:w="109"/>
        <w:gridCol w:w="740"/>
        <w:gridCol w:w="740"/>
        <w:gridCol w:w="1054"/>
      </w:tblGrid>
      <w:tr>
        <w:trPr/>
        <w:tc>
          <w:tcPr>
            <w:tcW w:w="161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Ontario,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98-1220792</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243 Tresser Blvd, 17th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Stamford, 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06901</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647 952-5049</w:t>
      </w:r>
    </w:p>
    <w:p>
      <w:pPr>
        <w:pStyle w:val="TextBody"/>
        <w:bidi w:val="0"/>
        <w:spacing w:lineRule="auto" w:line="288" w:before="0" w:after="0"/>
        <w:ind w:left="0" w:right="0" w:firstLine="54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lineRule="auto" w:line="288" w:before="60" w:after="283"/>
        <w:ind w:left="0" w:right="0" w:firstLine="540"/>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827" w:type="dxa"/>
        <w:jc w:val="left"/>
        <w:tblInd w:w="0" w:type="dxa"/>
        <w:tblLayout w:type="fixed"/>
        <w:tblCellMar>
          <w:top w:w="28" w:type="dxa"/>
          <w:left w:w="28" w:type="dxa"/>
          <w:bottom w:w="28" w:type="dxa"/>
          <w:right w:w="28" w:type="dxa"/>
        </w:tblCellMar>
      </w:tblPr>
      <w:tblGrid>
        <w:gridCol w:w="1008"/>
        <w:gridCol w:w="888"/>
        <w:gridCol w:w="893"/>
        <w:gridCol w:w="519"/>
        <w:gridCol w:w="519"/>
        <w:gridCol w:w="521"/>
        <w:gridCol w:w="1019"/>
        <w:gridCol w:w="1019"/>
        <w:gridCol w:w="1441"/>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Purchase Rights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80" w:after="283"/>
        <w:ind w:left="0" w:right="0" w:firstLine="360"/>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60" w:after="283"/>
        <w:ind w:left="0" w:right="0" w:firstLine="360"/>
        <w:jc w:val="both"/>
        <w:rPr/>
      </w:pPr>
      <w:r>
        <w:rPr>
          <w:rFonts w:ascii="Times New Roman;serif" w:hAnsi="Times New Roman;serif"/>
          <w:b w:val="false"/>
          <w:color w:val="000000"/>
          <w:sz w:val="19"/>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60" w:after="283"/>
        <w:ind w:left="0" w:right="0" w:firstLine="36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jc w:val="left"/>
        <w:rPr/>
      </w:pPr>
      <w:r>
        <w:rPr>
          <w:rFonts w:ascii="Times New Roman;serif" w:hAnsi="Times New Roman;serif"/>
          <w:b w:val="false"/>
          <w:color w:val="000000"/>
          <w:sz w:val="20"/>
        </w:rPr>
        <w:t>Large accelerated filer ☐</w:t>
      </w:r>
      <w:r>
        <w:rPr>
          <w:color w:val="000000"/>
        </w:rPr>
        <w:t xml:space="preserve">             </w:t>
      </w:r>
      <w:r>
        <w:rPr>
          <w:rFonts w:ascii="Times New Roman;serif" w:hAnsi="Times New Roman;serif"/>
          <w:b w:val="false"/>
          <w:color w:val="000000"/>
          <w:sz w:val="20"/>
        </w:rPr>
        <w:t>Accelerated filer ☐</w:t>
      </w:r>
    </w:p>
    <w:p>
      <w:pPr>
        <w:pStyle w:val="TextBody"/>
        <w:bidi w:val="0"/>
        <w:spacing w:lineRule="auto" w:line="288" w:before="60" w:after="283"/>
        <w:jc w:val="left"/>
        <w:rPr/>
      </w:pPr>
      <w:r>
        <w:rPr>
          <w:rFonts w:ascii="Times New Roman;serif" w:hAnsi="Times New Roman;serif"/>
          <w:b w:val="false"/>
          <w:color w:val="000000"/>
          <w:sz w:val="20"/>
        </w:rPr>
        <w:t>Non-accelerated filer ☒</w:t>
      </w:r>
      <w:r>
        <w:rPr>
          <w:color w:val="000000"/>
        </w:rPr>
        <w:t xml:space="preserve">                 </w:t>
      </w:r>
      <w:r>
        <w:rPr>
          <w:rFonts w:ascii="Times New Roman;serif" w:hAnsi="Times New Roman;serif"/>
          <w:b w:val="false"/>
          <w:color w:val="000000"/>
          <w:sz w:val="20"/>
        </w:rPr>
        <w:t>Smaller reporting company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60" w:after="283"/>
        <w:ind w:left="0" w:right="0" w:firstLine="360"/>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360"/>
        <w:jc w:val="both"/>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9"/>
        </w:rPr>
        <w:t>No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August 11, 2026, there were 8,704,816 shares of the registrant’s common shares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540"/>
                        <w:jc w:val="left"/>
                        <w:rPr/>
                      </w:pPr>
                      <w:r>
                        <w:rPr/>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3"/>
        <w:gridCol w:w="258"/>
        <w:gridCol w:w="260"/>
        <w:gridCol w:w="122"/>
        <w:gridCol w:w="122"/>
        <w:gridCol w:w="122"/>
        <w:gridCol w:w="2761"/>
        <w:gridCol w:w="2694"/>
        <w:gridCol w:w="2701"/>
        <w:gridCol w:w="109"/>
        <w:gridCol w:w="109"/>
        <w:gridCol w:w="109"/>
        <w:gridCol w:w="158"/>
        <w:gridCol w:w="158"/>
        <w:gridCol w:w="22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3"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10">
              <w:r>
                <w:rPr>
                  <w:rStyle w:val="InternetLink"/>
                  <w:rFonts w:ascii="Times New Roman;serif" w:hAnsi="Times New Roman;serif"/>
                  <w:b w:val="false"/>
                  <w:color w:val="0000FF"/>
                  <w:sz w:val="20"/>
                  <w:u w:val="single"/>
                </w:rPr>
                <w:t>PART I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13">
              <w:r>
                <w:rPr>
                  <w:rStyle w:val="InternetLink"/>
                  <w:rFonts w:ascii="Times New Roman;serif" w:hAnsi="Times New Roman;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16">
              <w:r>
                <w:rPr>
                  <w:rStyle w:val="InternetLink"/>
                  <w:rFonts w:ascii="Times New Roman;serif" w:hAnsi="Times New Roman;serif"/>
                  <w:b w:val="false"/>
                  <w:color w:val="0000FF"/>
                  <w:sz w:val="20"/>
                  <w:u w:val="single"/>
                </w:rPr>
                <w:t>Condensed Consolidated Balance Sheets (unaudited) - June 30, 2026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16">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19">
              <w:r>
                <w:rPr>
                  <w:rStyle w:val="InternetLink"/>
                  <w:rFonts w:ascii="Times New Roman;serif" w:hAnsi="Times New Roman;serif"/>
                  <w:b w:val="false"/>
                  <w:color w:val="0000FF"/>
                  <w:sz w:val="20"/>
                  <w:u w:val="single"/>
                </w:rPr>
                <w:t>Condensed Consolidated Statements of Operations (unaudited) -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19">
              <w:r>
                <w:rPr>
                  <w:rStyle w:val="InternetLink"/>
                  <w:rFonts w:ascii="Times New Roman;serif" w:hAnsi="Times New Roman;serif"/>
                  <w:b w:val="false"/>
                  <w:color w:val="0000FF"/>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22">
              <w:r>
                <w:rPr>
                  <w:rStyle w:val="InternetLink"/>
                  <w:rFonts w:ascii="Times New Roman;serif" w:hAnsi="Times New Roman;serif"/>
                  <w:b w:val="false"/>
                  <w:color w:val="0000FF"/>
                  <w:sz w:val="20"/>
                  <w:u w:val="single"/>
                </w:rPr>
                <w:t>Condensed Consolidated Statements of Comprehensive (Loss) Income (unaudited) -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22">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25">
              <w:r>
                <w:rPr>
                  <w:rStyle w:val="InternetLink"/>
                  <w:rFonts w:ascii="Times New Roman;serif" w:hAnsi="Times New Roman;serif"/>
                  <w:b w:val="false"/>
                  <w:color w:val="0000FF"/>
                  <w:sz w:val="20"/>
                  <w:u w:val="single"/>
                </w:rPr>
                <w:t>Condensed Consolidated Statements of Shareholders’ Equity (unaudited)-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25">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28">
              <w:r>
                <w:rPr>
                  <w:rStyle w:val="InternetLink"/>
                  <w:rFonts w:ascii="Times New Roman;serif" w:hAnsi="Times New Roman;serif"/>
                  <w:b w:val="false"/>
                  <w:color w:val="0000FF"/>
                  <w:sz w:val="20"/>
                  <w:u w:val="single"/>
                </w:rPr>
                <w:t>Condensed Consolidated Statements of Cash Flows (unaudited) -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28">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31">
              <w:r>
                <w:rPr>
                  <w:rStyle w:val="InternetLink"/>
                  <w:rFonts w:ascii="Times New Roman;serif" w:hAnsi="Times New Roman;serif"/>
                  <w:b w:val="false"/>
                  <w:color w:val="0000FF"/>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31">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79">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82">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82">
              <w:r>
                <w:rPr>
                  <w:rStyle w:val="InternetLink"/>
                  <w:rFonts w:ascii="Times New Roman;serif" w:hAnsi="Times New Roman;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85">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85">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3"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88">
              <w:r>
                <w:rPr>
                  <w:rStyle w:val="InternetLink"/>
                  <w:rFonts w:ascii="Times New Roman;serif" w:hAnsi="Times New Roman;serif"/>
                  <w:b w:val="false"/>
                  <w:color w:val="0000FF"/>
                  <w:sz w:val="20"/>
                  <w:u w:val="single"/>
                </w:rPr>
                <w:t>PART II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91">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91">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94">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94">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97">
              <w:r>
                <w:rPr>
                  <w:rStyle w:val="InternetLink"/>
                  <w:rFonts w:ascii="Times New Roman;serif" w:hAnsi="Times New Roman;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97">
              <w:r>
                <w:rPr>
                  <w:rStyle w:val="InternetLink"/>
                  <w:rFonts w:ascii="Times New Roman;serif" w:hAnsi="Times New Roman;serif"/>
                  <w:b w:val="false"/>
                  <w:color w:val="0000FF"/>
                  <w:sz w:val="20"/>
                  <w:u w:val="single"/>
                </w:rPr>
                <w:t>40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100">
              <w:r>
                <w:rPr>
                  <w:rStyle w:val="InternetLink"/>
                  <w:rFonts w:ascii="Times New Roman;serif" w:hAnsi="Times New Roman;serif"/>
                  <w:b w:val="false"/>
                  <w:color w:val="0000FF"/>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100">
              <w:r>
                <w:rPr>
                  <w:rStyle w:val="InternetLink"/>
                  <w:rFonts w:ascii="Times New Roman;serif" w:hAnsi="Times New Roman;serif"/>
                  <w:b w:val="false"/>
                  <w:color w:val="0000FF"/>
                  <w:sz w:val="20"/>
                  <w:u w:val="single"/>
                </w:rPr>
                <w:t>40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103">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103">
              <w:r>
                <w:rPr>
                  <w:rStyle w:val="InternetLink"/>
                  <w:rFonts w:ascii="Times New Roman;serif" w:hAnsi="Times New Roman;serif"/>
                  <w:b w:val="false"/>
                  <w:color w:val="0000FF"/>
                  <w:sz w:val="20"/>
                  <w:u w:val="single"/>
                </w:rPr>
                <w:t>40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106">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106">
              <w:r>
                <w:rPr>
                  <w:rStyle w:val="InternetLink"/>
                  <w:rFonts w:ascii="Times New Roman;serif" w:hAnsi="Times New Roman;serif"/>
                  <w:b w:val="false"/>
                  <w:color w:val="0000FF"/>
                  <w:sz w:val="20"/>
                  <w:u w:val="single"/>
                </w:rPr>
                <w:t>40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109">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109">
              <w:r>
                <w:rPr>
                  <w:rStyle w:val="InternetLink"/>
                  <w:rFonts w:ascii="Times New Roman;serif" w:hAnsi="Times New Roman;serif"/>
                  <w:b w:val="false"/>
                  <w:color w:val="0000FF"/>
                  <w:sz w:val="20"/>
                  <w:u w:val="single"/>
                </w:rPr>
                <w:t>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aa4563f2645f58552406ae07b4a87_112">
              <w:r>
                <w:rPr>
                  <w:rStyle w:val="InternetLink"/>
                  <w:rFonts w:ascii="Times New Roman;serif" w:hAnsi="Times New Roman;serif"/>
                  <w:b w:val="false"/>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aa4563f2645f58552406ae07b4a87_112">
              <w:r>
                <w:rPr>
                  <w:rStyle w:val="InternetLink"/>
                  <w:rFonts w:ascii="Times New Roman;serif" w:hAnsi="Times New Roman;serif"/>
                  <w:b w:val="false"/>
                  <w:color w:val="0000FF"/>
                  <w:sz w:val="20"/>
                  <w:u w:val="singl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540"/>
                        <w:jc w:val="left"/>
                        <w:rPr/>
                      </w:pPr>
                      <w:r>
                        <w:rPr/>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Sphere 3D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27"/>
        <w:gridCol w:w="2421"/>
        <w:gridCol w:w="2375"/>
        <w:gridCol w:w="211"/>
        <w:gridCol w:w="721"/>
        <w:gridCol w:w="109"/>
        <w:gridCol w:w="109"/>
        <w:gridCol w:w="109"/>
        <w:gridCol w:w="109"/>
        <w:gridCol w:w="215"/>
        <w:gridCol w:w="738"/>
        <w:gridCol w:w="161"/>
      </w:tblGrid>
      <w:tr>
        <w:trPr/>
        <w:tc>
          <w:tcPr>
            <w:tcW w:w="2927"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Shareholders’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employee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Temporary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H preferred shares, no par value, unlimited shares authorized, 161 shares issued and outstanding as of both June 30,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I preferred shares, no par value, unlimited shares authorized, 1,387,117 and nil shares issued and outstanding as of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no par value; unlimited shares authorized, 7,639,893 and 3,392,541 shares issued and outstanding as of June 30, 2026 and December 31,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temporary equity,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Sphere 3D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98" w:type="dxa"/>
        <w:jc w:val="center"/>
        <w:tblInd w:w="0" w:type="dxa"/>
        <w:tblLayout w:type="fixed"/>
        <w:tblCellMar>
          <w:top w:w="28" w:type="dxa"/>
          <w:left w:w="28" w:type="dxa"/>
          <w:bottom w:w="28" w:type="dxa"/>
          <w:right w:w="28" w:type="dxa"/>
        </w:tblCellMar>
      </w:tblPr>
      <w:tblGrid>
        <w:gridCol w:w="1617"/>
        <w:gridCol w:w="1417"/>
        <w:gridCol w:w="1436"/>
        <w:gridCol w:w="211"/>
        <w:gridCol w:w="796"/>
        <w:gridCol w:w="109"/>
        <w:gridCol w:w="109"/>
        <w:gridCol w:w="109"/>
        <w:gridCol w:w="109"/>
        <w:gridCol w:w="249"/>
        <w:gridCol w:w="727"/>
        <w:gridCol w:w="109"/>
        <w:gridCol w:w="109"/>
        <w:gridCol w:w="109"/>
        <w:gridCol w:w="109"/>
        <w:gridCol w:w="211"/>
        <w:gridCol w:w="796"/>
        <w:gridCol w:w="109"/>
        <w:gridCol w:w="109"/>
        <w:gridCol w:w="109"/>
        <w:gridCol w:w="109"/>
        <w:gridCol w:w="244"/>
        <w:gridCol w:w="732"/>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br/>
              <w:t>Ended 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8"/>
              </w:rPr>
              <w:t>(exclusive of depreciation and amortization</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shown below)</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Bitcoin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gain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per share: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income per share:</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0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5,166,486 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2,777,080 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4,328,230 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2,748,060 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Sphere 3D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64" w:type="dxa"/>
        <w:jc w:val="center"/>
        <w:tblInd w:w="0" w:type="dxa"/>
        <w:tblLayout w:type="fixed"/>
        <w:tblCellMar>
          <w:top w:w="28" w:type="dxa"/>
          <w:left w:w="28" w:type="dxa"/>
          <w:bottom w:w="28" w:type="dxa"/>
          <w:right w:w="28" w:type="dxa"/>
        </w:tblCellMar>
      </w:tblPr>
      <w:tblGrid>
        <w:gridCol w:w="1215"/>
        <w:gridCol w:w="1069"/>
        <w:gridCol w:w="1075"/>
        <w:gridCol w:w="211"/>
        <w:gridCol w:w="796"/>
        <w:gridCol w:w="109"/>
        <w:gridCol w:w="109"/>
        <w:gridCol w:w="109"/>
        <w:gridCol w:w="109"/>
        <w:gridCol w:w="211"/>
        <w:gridCol w:w="616"/>
        <w:gridCol w:w="109"/>
        <w:gridCol w:w="109"/>
        <w:gridCol w:w="109"/>
        <w:gridCol w:w="109"/>
        <w:gridCol w:w="211"/>
        <w:gridCol w:w="796"/>
        <w:gridCol w:w="109"/>
        <w:gridCol w:w="109"/>
        <w:gridCol w:w="109"/>
        <w:gridCol w:w="109"/>
        <w:gridCol w:w="211"/>
        <w:gridCol w:w="691"/>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br/>
              <w:t>Ended June 30,</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Sphere 3D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402" w:type="dxa"/>
        <w:jc w:val="center"/>
        <w:tblInd w:w="0" w:type="dxa"/>
        <w:tblLayout w:type="fixed"/>
        <w:tblCellMar>
          <w:top w:w="28" w:type="dxa"/>
          <w:left w:w="28" w:type="dxa"/>
          <w:bottom w:w="28" w:type="dxa"/>
          <w:right w:w="28" w:type="dxa"/>
        </w:tblCellMar>
      </w:tblPr>
      <w:tblGrid>
        <w:gridCol w:w="755"/>
        <w:gridCol w:w="215"/>
        <w:gridCol w:w="216"/>
        <w:gridCol w:w="435"/>
        <w:gridCol w:w="436"/>
        <w:gridCol w:w="196"/>
        <w:gridCol w:w="109"/>
        <w:gridCol w:w="109"/>
        <w:gridCol w:w="109"/>
        <w:gridCol w:w="196"/>
        <w:gridCol w:w="556"/>
        <w:gridCol w:w="109"/>
        <w:gridCol w:w="109"/>
        <w:gridCol w:w="109"/>
        <w:gridCol w:w="109"/>
        <w:gridCol w:w="435"/>
        <w:gridCol w:w="436"/>
        <w:gridCol w:w="196"/>
        <w:gridCol w:w="109"/>
        <w:gridCol w:w="109"/>
        <w:gridCol w:w="109"/>
        <w:gridCol w:w="196"/>
        <w:gridCol w:w="736"/>
        <w:gridCol w:w="109"/>
        <w:gridCol w:w="109"/>
        <w:gridCol w:w="109"/>
        <w:gridCol w:w="109"/>
        <w:gridCol w:w="228"/>
        <w:gridCol w:w="665"/>
        <w:gridCol w:w="128"/>
        <w:gridCol w:w="109"/>
        <w:gridCol w:w="109"/>
        <w:gridCol w:w="109"/>
        <w:gridCol w:w="196"/>
        <w:gridCol w:w="751"/>
        <w:gridCol w:w="109"/>
        <w:gridCol w:w="109"/>
        <w:gridCol w:w="109"/>
        <w:gridCol w:w="109"/>
        <w:gridCol w:w="224"/>
        <w:gridCol w:w="740"/>
        <w:gridCol w:w="177"/>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3,392,541 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reverse stock split fractional</w:t>
              <w:br/>
              <w:t>     shares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at-the-market offering,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settlement of liabilities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vested restricted stock units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3,767,086 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equity instruments for acquisition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1,387,117 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2,405,300 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at-the-market offering,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892,582 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vested restricted stock units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settlement of liabilities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1,387,117 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7,639,893 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62"/>
        <w:gridCol w:w="366"/>
        <w:gridCol w:w="367"/>
        <w:gridCol w:w="203"/>
        <w:gridCol w:w="203"/>
        <w:gridCol w:w="196"/>
        <w:gridCol w:w="109"/>
        <w:gridCol w:w="109"/>
        <w:gridCol w:w="109"/>
        <w:gridCol w:w="196"/>
        <w:gridCol w:w="406"/>
        <w:gridCol w:w="109"/>
        <w:gridCol w:w="109"/>
        <w:gridCol w:w="109"/>
        <w:gridCol w:w="109"/>
        <w:gridCol w:w="435"/>
        <w:gridCol w:w="436"/>
        <w:gridCol w:w="196"/>
        <w:gridCol w:w="109"/>
        <w:gridCol w:w="109"/>
        <w:gridCol w:w="109"/>
        <w:gridCol w:w="196"/>
        <w:gridCol w:w="736"/>
        <w:gridCol w:w="109"/>
        <w:gridCol w:w="109"/>
        <w:gridCol w:w="109"/>
        <w:gridCol w:w="109"/>
        <w:gridCol w:w="228"/>
        <w:gridCol w:w="665"/>
        <w:gridCol w:w="128"/>
        <w:gridCol w:w="109"/>
        <w:gridCol w:w="109"/>
        <w:gridCol w:w="109"/>
        <w:gridCol w:w="196"/>
        <w:gridCol w:w="758"/>
        <w:gridCol w:w="109"/>
        <w:gridCol w:w="109"/>
        <w:gridCol w:w="109"/>
        <w:gridCol w:w="109"/>
        <w:gridCol w:w="224"/>
        <w:gridCol w:w="740"/>
        <w:gridCol w:w="179"/>
      </w:tblGrid>
      <w:tr>
        <w:trPr/>
        <w:tc>
          <w:tcPr>
            <w:tcW w:w="8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2,545,342 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at-the-market offering, net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shares pursuant to vesting of restricted </w:t>
              <w:br/>
              <w:t>     stock units, net of shares withheld for income taxes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pre-funded warrants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2,617,838 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shares pursuant to vesting of restricted </w:t>
              <w:br/>
              <w:t>     stock units, net of shares withheld for income taxes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pre-funded warrants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2,795,056 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(463,939)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Sphere 3D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of U.S. dollars)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7959" w:type="dxa"/>
        <w:jc w:val="center"/>
        <w:tblInd w:w="0" w:type="dxa"/>
        <w:tblLayout w:type="fixed"/>
        <w:tblCellMar>
          <w:top w:w="28" w:type="dxa"/>
          <w:left w:w="28" w:type="dxa"/>
          <w:bottom w:w="28" w:type="dxa"/>
          <w:right w:w="28" w:type="dxa"/>
        </w:tblCellMar>
      </w:tblPr>
      <w:tblGrid>
        <w:gridCol w:w="2035"/>
        <w:gridCol w:w="1791"/>
        <w:gridCol w:w="1799"/>
        <w:gridCol w:w="196"/>
        <w:gridCol w:w="721"/>
        <w:gridCol w:w="109"/>
        <w:gridCol w:w="109"/>
        <w:gridCol w:w="109"/>
        <w:gridCol w:w="109"/>
        <w:gridCol w:w="196"/>
        <w:gridCol w:w="631"/>
        <w:gridCol w:w="154"/>
      </w:tblGrid>
      <w:tr>
        <w:trPr/>
        <w:tc>
          <w:tcPr>
            <w:tcW w:w="2035"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br/>
              <w:t>Ended June 30,</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233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Bitcoin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to nonemployees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right-of-use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sale of investment in equity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 in equity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Mining of Bitcoin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Bitcoin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acquired from acquisition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 in equity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purchase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shares,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issuance costs for common shares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334" w:type="dxa"/>
            <w:gridSpan w:val="9"/>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334" w:type="dxa"/>
            <w:gridSpan w:val="9"/>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334" w:type="dxa"/>
            <w:gridSpan w:val="9"/>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334" w:type="dxa"/>
            <w:gridSpan w:val="9"/>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2334" w:type="dxa"/>
            <w:gridSpan w:val="9"/>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exchanged for new mining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for settlement of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operating lease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accrued for purchases of property and equipment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exchanged for settlement of liabilities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Sphere 3D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1.Organization and Business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Sphere 3D Corp. was incorporated under the </w:t>
      </w:r>
      <w:r>
        <w:rPr>
          <w:rFonts w:ascii="Times New Roman;serif" w:hAnsi="Times New Roman;serif"/>
          <w:b w:val="false"/>
          <w:i/>
          <w:color w:val="000000"/>
          <w:sz w:val="20"/>
        </w:rPr>
        <w:t>Business Corporations Act (Ontario)</w:t>
      </w:r>
      <w:r>
        <w:rPr>
          <w:color w:val="000000"/>
        </w:rPr>
        <w:t xml:space="preserve"> </w:t>
      </w:r>
      <w:r>
        <w:rPr>
          <w:rFonts w:ascii="Times New Roman;serif" w:hAnsi="Times New Roman;serif"/>
          <w:b w:val="false"/>
          <w:color w:val="000000"/>
          <w:sz w:val="20"/>
        </w:rPr>
        <w:t>on May 2, 2007 as T.B. Mining Ventures Inc. On March 24, 2015, the Company completed a short-form amalgamation with a wholly-owned subsidiary. In connection with the short-form amalgamation, the Company changed its name to “Sphere 3D Corp.” Any reference to the “Company”, “Sphere 3D”, “we”, “our”, “us”, or similar terms refers to Sphere 3D Corp. and its subsidiaries. In January 2022, the Company commenced operations of its Bitcoin mining business. On June 1, 2026, the Company consummated the Combination (as defined below). Following the Combination, the Company is dedicated to becoming a leader as a digital infrastructure company focused on operating and expanding scalable power and data center assets for high-performance computing, artificial intelligence (“AI”) workloads, and digital asset infrastructure.</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5, 2026, the Company and Cathedra Bitcoin Inc. (“Cathedra”), entered into a definitive agreement to combine the two companies in an all-stock transaction (the “Arrangement Agreement”). On June 1, 2026, the business combination was effected by way of a plan of arrangement under the Business Corporations Act (British Columbia), pursuant to which S3D Acquisition Corp., the Company’s wholly-owned subsidiary, acquired all of the issued and outstanding shares of Cathedra in a share-for-share transaction, and Cathedra became a wholly-owned subsidiary of the Company (the “Combination”). As a result of the Combination, the Company has expanded beyond proprietary Bitcoin mining into a vertically integrated data center infrastructure platform, combining our mining fleet and capital markets access with Cathedra’s energy and power infrastructure assets and data center development capabilities.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Share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9, 2026, the Company filed an Articles of Amendment to effect a share consolidation (also known as a reverse stock split) of its issued and outstanding common shares in the ratio of 1-for-10. The share consolidation was effective on February 9, 2026. The Company’s common shares began trading on an adjusted basis on the Nasdaq Capital Market (“Nasdaq”) at the opening of trading on February 10, 2026. All share and per share amounts have been restated for all periods presented to reflect the share consolidation.</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Going Concern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has projected that based on our recurring losses, negative cash flows from operating activities, and our hashing rate at June 30, 2026, cash on hand may not be sufficient to allow the Company to continue operations and there is substantial doubt about our ability to continue as a going concern within 12 months from the date of issuance of our financial statements if we are unable to raise additional funding for operations. We expect our working capital needs to increase in the future as we continue to expand and enhance our operations. Our ability to raise additional funds for working capital through equity or debt financings or other sources may depend on the financial success of our business and successful implementation of our key strategic initiatives, financial, economic and market conditions and other factors, some of which are beyond our control. We require additional capital and if we are unsuccessful in raising that capital at a reasonable cost and at the required times, or at all, we may not be able to continue our business operations in the cryptocurrency mining industry or we may be unable to advance our growth initiatives, either of which could adversely impact our business, financial condition and results of operations. To mitigate these risks we are taking steps to reduce our cost of mining, have refreshed our mining fleet to improve our mining efficiency, and expect that recently contracted hosting agreements should further support these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changes from our current forecasts, including but not limited to: (i) shortfalls from projected earnings; (ii) increases in operating costs; (iii) decreases in the value of cryptocurrency; and (iv) if we do not maintain compliance with the requirements of Nasdaq and/or we do not maintain our listing with Nasdaq, it could have a material adverse impact on our ability to access the level of funding necessary to continue operations at current levels. These factors, among others, should they occur may result in our inability to continue as a going concern within 12 months from the date of issuance of our financial statements. The accompanying condensed consolidated financial statements have been prepared on a going concern basis, which contemplates the realization of assets and the satisfaction of liabilities in the normal course of business and do not include any adjustments that might result from the outcome of this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of the Company have been prepared by management in accordance with accounting principles generally accepted in the United States of America (“U.S. GAAP”), applied on a basis consistent for all periods. Accordingly, they do not include all of the information and disclosures required by U.S. GAAP for a complete set of financial statements. These condensed consolidated financial statements and notes thereto should be read in conjunction with the audited consolidated financial statements and notes thereto included in the Company’s Annual Report on Form 10-K for the year ended December 31, 2025, filed with the Securities and Exchange Commission on March 27, 2026. In the opinion of management, all adjustments of a normal recurring nature considered necessary for a fair presentation have been included. The results of operations of any interim period are not necessarily indicative of the results of operations to be expected for the full fiscal year. These condensed consolidated financial statements include the accounts of the Company and its subsidiaries. All intercompany balances and transactions have been appropriately eliminated in consolidation.</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requires management to make estimates and assumptions that affect the reported amounts of assets and liabilities and disclosure of contingent assets and liabilities at the date of the condensed consolidated financial statements and reported amounts of revenues and expenses during the reporting period. Actual results could differ from these estimates. </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Foreign Currency Translation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Company’s subsidiary, for which the functional currency may be the local currency, are translated into U.S. dollars using the exchange rate at the consolidated balance sheet date for assets and liabilities and a weighted-average exchange rate during the year for revenue, expenses, gains and losses. Translation adjustments are recorded as accumulated other comprehensive income (loss) within shareholders’ equity. Gains or losses from foreign currency transactions are recognized in the condensed consolidated statements of operations. Such transactions resulted in minimal gains or losses for the three and six months ended June 30, 2026 and 2025. For the Company’s Canadian subsidiaries, the functional currency is deemed to be the U.S. dollar.</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Highly liquid investments with insignificant interest rate risk and original maturities of three months or less, when purchased, are classified as cash equivalents. Cash equivalents are composed of money market funds. Cash and cash equivalents that exceed federally insured limits are maintained with financial institutions. The Company has not experienced any losses related to these balances and believes credit risk to be minimal.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Bitcoin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Bitcoin is included in current assets in the condensed consolidated balance sheets as the Company has the ability to sell it in a highly liquid marketplace, and the sale of Bitcoin is used to fund operating expenses to support operations. Bitcoin is expected to be realized in cash or sold during the Company’s normal operating cycle. Bitcoin held are accounted for as intangible assets with indefinite useful lives. Bitcoin awarded to the Company through its mining activities was included within operating activities on the condensed consolidated statements of cash flows. The proceeds from the sale of Bitcoin are included within operating or investing activities in the condensed consolidated statements of cash flows depending on the length of time the Bitcoin is held. Bitcoin is valued at fair value at the end of each reporting period with changes in fair value recorded in operating expenses in the condensed consolidated statements of operations. The fair value of Bitcoin is measured using the period-end closing price from the Company’s principal market. When Bitcoin is sold, the gains and losses from such transactions are measured as the difference between the cash proceeds and the carrying basis of the Bitcoin as determined on a first in-first out (“FIFO”) basis and are recorded within the same line item, Change in Fair Value of Bitcoin, in the condensed consolidated statements of operations.</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primarily consists of mining equipment and infrastructure and is stated at cost, including purchase price, shipping and custom fees, and is depreciated using the straight-line method over the estimated useful lives of the assets, generally three years to ten years.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amounts of property and equipment are reviewed when events or changes in circumstances indicate the assets may not be recoverable. If any such indication exists, the fair value of the asset is estimated in order to determine the extent of the impairment loss, if any.</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contains a lease at inception. When an arrangement contains a lease, the Company categorizes leases with contractual terms longer than twelve months as either operating or finance. Finance leases are generally those leases that allow the Company to substantially utilize or pay for the entire asset over its estimated life. Assets acquired under finance leases would be recorded in property and equipment, net. All other leases are categorized as operating leases. As of June 30, 2026, all leases are classified as operating 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Right of use (“ROU”) assets and liabilities resulting from operating leases are initially recognized based on the discounted future lease payments over the term of the lease. As the leases typically do not provide an implicit rate, the Company uses the incremental borrowing rate based on the information available at commencement date in determining the discount rate to calculate the present value of future payments. The operating lease ROU asset may also include any lease payments made and exclude lease incentives and initial direct costs incurred. Certain of the Company’s leases include options to extend the lease term. The Company includes renewal options in the lease term only when exercise is reasonably certain; as of June 30, 2026, no renewal options were included in the measurement of the Company’s lease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Short-term leases with an initial term of 12 months or less are not recorded on the balance sheet. Lease expense for minimum lease payments is recognized on a straight-line basis over the lease term.</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cost of a business acquisition in excess of the fair value of the net assets acquired. Goodwill is not amortized and is reviewed at least annually for possible impairment. A qualitative assessment may be first performed to determine whether it is more likely than not that a reporting unit is impaired. If through the qualitative assessment, it is determined that it is more likely than not that goodwill is not impaired, no further testing is required. If it is determined more likely than not that goodwill is impaired, or if the Company elects not to first assess qualitative factors, the Company’s impairment testing continues with the estimation of the fair value using a combination of an income (discounted cash flow) approach and a market approach at the reporting unit level. The estimation of the fair value requires significant management judgment with respect to revenue and expense growth rates, changes in working capital and the selection and use of an appropriate discount rate. The estimate of the fair value is based on the best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available as of the date of the assessment. The use of different assumptions would increase or decrease estimated discounted future operating cash flows and could increase or decrease an impairment charge. Management uses its judgment in assessing whether assets may have become impaired between annual impairment tests. Indicators such as adverse business conditions, economic factors, and technological change or competitive activities may signal that an asset has become impaired. For the six months ended June 30, 2026, there was no impairment of goodwill.</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intangible assets purchased in a business combination, the estimated fair values of the assets received are used to establish their recorded values. For intangible assets acquired in a non-monetary exchange, the estimated fair values of the assets transferred (or the estimated fair values of the assets received, if more clearly evident) are used to establish their recorded values. Valuation techniques consistent with the market approach, income approach and/or cost approach are used to measure fair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Supplier agreements and customer relationships are amortized on a straight-line basis over their economic lives of five years as this method most closely reflects the pattern in which the economic benefits of the assets will be consumed. </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Impairment of 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Regular reviews of intangible assets are performed to determine if any event has occurred that may indicate that intangible assets with finite useful lives and other long-lived assets are potentially impaired. Triggering events for impairment reviews may be indicators such as adverse industry or economic trends, restructuring actions, lower projections of profitability, or a sustained decline in the Company's market capitalization. Intangible assets are quantitatively assessed for impairment, if necessary, by comparing their estimated fair values to their carrying values. If the carrying value exceeds the fair value, the difference is recorded as an impairment.</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Warrants are accounted for as either equity-classified or liability-classified instruments based on an assessment of the warrant’s specific terms and applicable authoritative guidance. Warrants that meet the definition of a derivative financial instrument, and that also meet the equity scope exception criteria, are classified as equity. Equity classified warrants are recorded at their initial fair value and are not subject to fair value remeasurement provided that the criteria for equity classification continues to be met. Warrants that are classified as liabilities are accounted for at fair value, subject to fair value remeasurement at each balance sheet date with changes in fair value recognized in other income, net. The classification of warrants is re-assessed at the end of each reporting period. The fair value of both equity-classified and liability-classified warrants are determined using the Black-Scholes options pricing model (“Black-Scholes model”) which includes Level 3 inputs.</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Revenue is accounted for pursuant to ASC 606, </w:t>
      </w:r>
      <w:r>
        <w:rPr>
          <w:rFonts w:ascii="Times New Roman;serif" w:hAnsi="Times New Roman;serif"/>
          <w:b w:val="false"/>
          <w:i/>
          <w:color w:val="000000"/>
          <w:sz w:val="20"/>
        </w:rPr>
        <w:t>Revenue from Contracts with Customers</w:t>
      </w:r>
      <w:r>
        <w:rPr>
          <w:color w:val="000000"/>
        </w:rPr>
        <w:t> </w:t>
      </w:r>
      <w:r>
        <w:rPr>
          <w:rFonts w:ascii="Times New Roman;serif" w:hAnsi="Times New Roman;serif"/>
          <w:b w:val="false"/>
          <w:color w:val="000000"/>
          <w:sz w:val="20"/>
        </w:rPr>
        <w:t>(“ASC 606”). The core principle of ASC 606 is that an entity recognize revenues when control of promised goods or services transfers to the customer, in an amount that reflects the consideration the entity expects to be entitled to in exchange for those goods or services.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Mining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engaged with Bitcoin mining pool operators, its customers, to provide a service to perform hash calculations for the mining pool operator, which is the Company’s only performance obligation. Providing hash calculation services is an output of the Company’s ordinary activities. The Company has a service agreement with Foundry Digital LLC, a cryptocurrency mining pool operator, to provide a service to perform hash calculations. In exchange for providing the service, the Company is entitled to Full Pay Per Share (“FPPS”), which is a fractional share of the fixed Bitcoin award the mining pool operator receives, plus a fractional share of the transaction fees attached to that blockchain less net Bitcoin fees due to the mining pool operator over the measurement period, as applicable. The pay-outs received are based on the expected value from the block reward plus the transaction fee reward, regardless of whether the mining pool operator successfully records a block to the blockchain.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fractional share is based on a contractual formula, which primarily calculates the hashrate provided to the mining pool as a percentage of total network hashrate and other inputs. The contracts, which are less than 24 hours and continuously renew throughout the day, are terminable at any time by either party without compensation and the Company’s enforceable right to compensation only begins when the Company starts providing the service to the mining pool operator, which begins daily at midnight Universal Time Coordinated (“UTC”). The terms, conditions, and compensation are at the current market rates, and accordingly the renewal option is not a material right. The contract arises at the point that the Company provides hash calculation services to the mining pool operator, which is the beginning of the contract day at midnight UTC time (contract inception), as customer consumption is in tandem with daily earnings of delivery of the service. According to the customer contract, daily earnings are calculated from midnight-to-23:59:59 UTC time, and the payout is made one hour later at 1:00 AM UTC time.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satisfies its performance obligation over time with daily settlement in Bitcoin. The Company’s performance is completed as it transfers the hashrate computations over the continuously renewed contract periods, which are less than 24 hours. The Company has full control of the mining equipment utilized in the mining pool and if the Company determines it will increase or decrease the processing power of its machines and/or fleet (i.e., for repairs or when power costs are excessive) the service provided to the customer will be adjusted.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transaction consideration the Company receives is noncash consideration in the form of Bitcoin, which the Company measures at fair value at contract inception, midnight UTC time. The noncash consideration is variable, since the amount of block reward earned depends on the amount of hash calculation services, the amount of transaction fees awarded, and operator fees over the same period. The Company does not constrain this variable consideration because it is probable that a significant reversal in the amount of revenue recognized from the contract will not occur when the uncertainty is subsequently resolved and recognizes the noncash consideration on the same day that control is transferred, which is the same day as contract inception. The fair value used to calculate the noncash consideration is based on the Bitcoin spot price in the Company’s principal market at the beginning of the day (midnight UTC time) at contract inception. Expenses associated with running the Bitcoin mining operations, such as hosting, operating supplies, utilities, and monitoring services are recorded as cost of revenues.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Hosting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enters into hosting contracts under which it operates digital asset mining equipment on behalf of third parties within its facilities. The services include energized space, electrical power, environmental management, monitoring, and active troubleshooting. These arrangements do not convey to the customer the right to control an identified asset and are therefore accounted for as service contracts under ASC 606. The Company retains the right to substitute and reallocate the space, racks, containers, and electrical capacity used to deliver the services, and directs how and for what purpose the hosting infrastructure is used, including decisions regarding energization, curtailment, and maintenance.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hosting contracts are service contracts that contain a single performance obligation to provide an integrated hosting service, comprising a series of distinct daily service periods that are substantially the same and have the same pattern of transfer to the customer. Because the customer simultaneously receives and consumes the benefits of the Company’s performance as the services are provided, the performance obligation is satisfied over time. The Company measures progress using an output method based on the electrical power delivered to the customer’s equipment during the period, measured in kilowatt-hours, which the Company believes best depicts the transfer of the services. Consideration under the Company’s hosting arrangements consists of (a) a service fee determined as the electrical power consumed by the customer’s equipment, measured in kilowatt-hours, multiplied by a contractual rate or, in certain arrangements, by the Company’s cost of electricity, and (b) in certain arrangements, a share of the net profit or loss generated by the customer’s hosted equipment, calculated as the value of the digital assets mined less the cost of electricity consumed. All consideration is denominated in U.S. dollars; the Company does not receive digital assets as consideration for hosting services. Certain customers settle invoices in a payment stablecoin, which the Company promptly converts to U.S. dollars. The Company is the principal in these arrangements: it obtains control of the electricity, hosting infrastructure, and related services before they are transferred to the customer, is primarily responsible for fulfilling its promise to the customer, bears the risks associated with power procurement and 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operations, and establishes the prices for its services. Hosting revenue is therefore presented on a gross basis, and the related electricity and site operating costs are presented within cost of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share described in (b) above represents variable consideration. It is attributable to the daily service periods to which it relates and is recognized in the period in which the related hosting services are provided. The Company determines the share after the end of each monthly period, once the digital assets mined by the customer’s equipment and the electricity invoiced by the utility are known, such uncertainty is substantially resolved before the related revenue is recognized and no variable consideration is constrained. In periods in which the customer’s hosted equipment generates a net loss, the Company’s share of that loss reduces the transaction price and, accordingly, hosting revenue.</w:t>
      </w:r>
    </w:p>
    <w:p>
      <w:pPr>
        <w:pStyle w:val="TextBody"/>
        <w:bidi w:val="0"/>
        <w:spacing w:lineRule="auto" w:line="288" w:before="120" w:after="283"/>
        <w:ind w:left="0" w:right="0" w:firstLine="540"/>
        <w:jc w:val="both"/>
        <w:rPr>
          <w:rFonts w:ascii="Times New Roman;serif" w:hAnsi="Times New Roman;serif"/>
          <w:b w:val="false"/>
          <w:i/>
          <w:color w:val="1A1A1A"/>
          <w:sz w:val="20"/>
        </w:rPr>
      </w:pPr>
      <w:r>
        <w:rPr>
          <w:rFonts w:ascii="Times New Roman;serif" w:hAnsi="Times New Roman;serif"/>
          <w:b w:val="false"/>
          <w:i/>
          <w:color w:val="1A1A1A"/>
          <w:sz w:val="20"/>
        </w:rPr>
        <w:t>Contract Balances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represents amounts billed and due from customers and are recorded when the Company has an unconditional right to consideration. Hosting fees billed in arrears give rise to a receivable at the end of the related service period. The Company intends to apply the practical expedient. As of June 30, 2026, the Company has concluded that expected credit losses are immaterial and therefore has not recorded an allowance.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hosting contracts may include advance payment terms in the form of monthly prepayments and, in certain cases, upfront payments at contract inception. Advance payments for hosting services are recorded as deferred revenue until the related services are provided as the customer simultaneously receives and consumes the benefits of the Company’s performance over the hosting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Amounts received from customers that are refundable and do not relate to the transfer of services, principally security deposits held as collateral for a customer’s performance, are recorded as customer deposits rather than deferred revenue. Customer deposits are refunded, or applied against amounts owed by the customer in accordance with the terms of the contract. When applied to consideration for future services, such amounts are reclassified to deferred revenue. Deferred revenue and customer deposits are classified as current or non-current based on the period in which the related services are expected to be provided or the amounts are otherwise expected to be settled.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applies the practical expedients available under ASC 606 and does not disclose information about performance obligations that are part of contracts with an original expected duration of one year or less, or about variable consideration that is allocated entirely to a wholly unsatisfied distinct service that forms part of a single performance obligation. These expedients do not affect the timing or measurement of revenue recognized but reduce the level of detail otherwise required in the Company’s disclosures.</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Comprehensive Income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Comprehensive income (loss) and its components encompass all changes in equity other than those arising from transactions with shareholders, including net income (loss) and foreign currency translation adjustments, and is disclosed in the condensed consolidated statements of comprehensive income (loss).</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Concentration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its cash and cash equivalent balances primarily with major commercial banks. Deposits held with the financial institutions may exceed the amount of insurance provided on such deposits. The Company may be exposed to credit risk in the event of a default by the financial institutions holding the cash and cash equivalents to the extent recorded on the condensed consolidated balance sheets. The accounts offered by the custodian of the Company’s Bitcoin are not insured by the Federal Deposit Insurance Corporation (FDIC). There have not been any losses in such accounts.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is concentrated with one mining pool operator, Foundry Digital LLC, and all Bitcoin primarily resided with one custodian.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dependent on a small number of Bitcoin mining equipment suppliers to provide a supply of new generation Bitcoin mining machines. The growth in the Company’s business is directly related to increased demand for hosting services and Bitcoin which is dependent in large part on the availability of new generation mining machines offered for sale at a price conducive to profitable Bitcoin mining. As more companies seek to enter the mining industry, the demand for machines may outpace supply and create mining machine equipment shortages. Currently there is not an agreement with suppliers to purchase additional machines, and therefore there is no guarantee that the Company will be able to purchase machines on terms acceptable to it.</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Share-based awards, and similar equity instruments, granted to employees, non-employee directors, and consultants are accounted for in accordance with the authoritative guidance for share-based compensation. Share-based compensation award types may include stock options and restricted stock units (“RSUs”), restricted stock awards (“RSAs”), and performance stock units (“PSUs”). Share-based compensation expense is recognized on a straight-lined basis over the requisite service period (usually the vesting period) except for options with graded vesting which is recognized pursuant to an accelerated method. Share-based compensation expense for an award with a performance condition is recognized when the achievement of such performance condition is determined to be probable. If the outcome of such performance condition is not determined to be probable or is not met, no compensation expense is recognized and any previously recognized compensation expense is reversed. Forfeitures are recognized as a reduction of share-based compensation expense as they occur.</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Operating Segment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evaluated regularly by the chief operating decision maker (“CODM”), or decision–making group, in deciding how to allocate resources and assess performance. The Company’s CODM is the Chief Executive Officer and Chief Financial Officer. The Company operates as one operating segment and uses net income or loss as a measure of profit or loss on a consolidated basis in making decisions regarding resource allocation and performance assessment. Additionally, the CODM regularly reviews the Company’s expenses on a consolidated basis. The financial metrics used by the CODM help make key operating decisions, such as determination of capital expenditure purchases and significant acquisitions and allocation of budget between cost of revenues and general and administrative expenses. The measure of segment assets is reported on the condensed consolidated balance sheet as total consolidated assets. The significant expense categories regularly provided to the CODM include cost of revenue, general and administrative expenses, depreciation and amortization, impairment of property and equipment, and change in fair value of Bitcoin. These expense categories are reported as separate line items in the condensed consolidated statements of operations. </w:t>
      </w:r>
    </w:p>
    <w:p>
      <w:pPr>
        <w:pStyle w:val="TextBody"/>
        <w:bidi w:val="0"/>
        <w:spacing w:lineRule="auto" w:line="288" w:before="120" w:after="283"/>
        <w:ind w:left="0" w:right="0" w:firstLine="450"/>
        <w:jc w:val="left"/>
        <w:rPr>
          <w:rFonts w:ascii="Times New Roman;serif" w:hAnsi="Times New Roman;serif"/>
          <w:b/>
          <w:color w:val="000000"/>
          <w:sz w:val="20"/>
        </w:rPr>
      </w:pPr>
      <w:r>
        <w:rPr>
          <w:rFonts w:ascii="Times New Roman;serif" w:hAnsi="Times New Roman;serif"/>
          <w:b/>
          <w:color w:val="000000"/>
          <w:sz w:val="20"/>
        </w:rPr>
        <w:t>Recently Issued and Adopted Accounting Pronouncements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Financial Accounting Standards Board (“FASB”) that are adopted by the Company as of the specified effective date. If not discussed, the Company believes that the impact of recently issued standards, which are not yet effective, will not have a material impact on the Company’s consolidated financial statements upon adoption.</w:t>
      </w:r>
    </w:p>
    <w:p>
      <w:pPr>
        <w:pStyle w:val="TextBody"/>
        <w:bidi w:val="0"/>
        <w:spacing w:lineRule="auto" w:line="288" w:before="120" w:after="283"/>
        <w:ind w:left="0" w:right="0" w:firstLine="495"/>
        <w:jc w:val="both"/>
        <w:rPr/>
      </w:pPr>
      <w:r>
        <w:rPr>
          <w:rFonts w:ascii="Times New Roman;serif" w:hAnsi="Times New Roman;serif"/>
          <w:b w:val="false"/>
          <w:color w:val="000000"/>
          <w:sz w:val="20"/>
        </w:rPr>
        <w:t xml:space="preserve">In September 2025, the FASB issued accounting standards update (“ASU”) No. 2025-07, </w:t>
      </w:r>
      <w:r>
        <w:rPr>
          <w:rFonts w:ascii="Times New Roman;serif" w:hAnsi="Times New Roman;serif"/>
          <w:b w:val="false"/>
          <w:i/>
          <w:color w:val="000000"/>
          <w:sz w:val="20"/>
        </w:rPr>
        <w:t>Derivatives and Hedging (Topic 815) and Revenue from Contracts with Customers (Topic 606): Scope Clarification and Accounting for Certain Contracts and Customer Share-Based Consideration</w:t>
      </w:r>
      <w:r>
        <w:rPr>
          <w:color w:val="000000"/>
        </w:rPr>
        <w:t xml:space="preserve"> </w:t>
      </w:r>
      <w:r>
        <w:rPr>
          <w:rFonts w:ascii="Times New Roman;serif" w:hAnsi="Times New Roman;serif"/>
          <w:b w:val="false"/>
          <w:color w:val="000000"/>
          <w:sz w:val="20"/>
        </w:rPr>
        <w:t>(“ASU 2025-07”), which narrows the types of contracts subject to derivative accounting by excluding those whose payouts depend solely on an entity’s own operational metrics, rather than market-based variables, and clarifies that share-based or warrant consideration received from a customer is accounted for under Topic 606 until the right to retain the instrument is unconditional, after which the guidance in Topic 815 and 321 applies. The amendments are effective for annual periods beginning after December 15, 2026, with early adoption permitted, and may be applied prospectively or on a modified retrospective basis with an option to elect or revoke the fair value option for certain instruments upon transition. The Company is currently evaluating the impact of ASU 2025-07 but does not expect it to have a material effect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May 2025, the FASB issued ASU 2025-03, </w:t>
      </w:r>
      <w:r>
        <w:rPr>
          <w:rFonts w:ascii="Times New Roman;serif" w:hAnsi="Times New Roman;serif"/>
          <w:b w:val="false"/>
          <w:i/>
          <w:color w:val="000000"/>
          <w:sz w:val="20"/>
        </w:rPr>
        <w:t>Business Combinations (Topic 805) and Consolidation (Topic 810): Determining the Accounting Acquirer in the Acquisition of a Variable Interest Entity</w:t>
      </w:r>
      <w:r>
        <w:rPr>
          <w:rFonts w:ascii="Times New Roman;serif" w:hAnsi="Times New Roman;serif"/>
          <w:b w:val="false"/>
          <w:color w:val="000000"/>
          <w:sz w:val="20"/>
        </w:rPr>
        <w:t>, which amends existing guidance to allow entities to apply the same principles used in other business combinations when determining the accounting acquirer in a transaction involving a variable interest entity (VIE) that is a business and where consideration is primarily in the form of equity interests. This update addresses comparability concerns and provides for more consistent application of acquisition accounting principles. The amendments are effective for annual periods beginning after December 15, 2026, and interim periods within those years, with early adoption permitted. The Company is currently assessing the potential impact of the standard but does not anticipate that it will have a material impact on its consolidated financial statements.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May 2025, the FASB also issued ASU 2025-04, </w:t>
      </w:r>
      <w:r>
        <w:rPr>
          <w:rFonts w:ascii="Times New Roman;serif" w:hAnsi="Times New Roman;serif"/>
          <w:b w:val="false"/>
          <w:i/>
          <w:color w:val="000000"/>
          <w:sz w:val="20"/>
        </w:rPr>
        <w:t>Compensation—Stock Compensation (Topic 718) and Revenue from Contracts with Customers (Topic 606): Clarifications to Share-Based Consideration Payable to a Customer</w:t>
      </w:r>
      <w:r>
        <w:rPr>
          <w:rFonts w:ascii="Times New Roman;serif" w:hAnsi="Times New Roman;serif"/>
          <w:b w:val="false"/>
          <w:color w:val="000000"/>
          <w:sz w:val="20"/>
        </w:rPr>
        <w:t>, to address diversity in practice and improve the operability of accounting for share-based consideration granted to customers. The amendments clarify how to distinguish between service and performance conditions for vesting, require entities to estimate forfeitures for all share-based consideration payable to customers, and specify that variable consideration guidance in ASC 606 does not apply when measuring such awards. The guidance is effective for fiscal years beginning after December 15, 2026, with early adoption permitted. The Company is currently evaluating the impact of this standard on its financial statements but does not expect it to have a material impact on its consolidated financial statements.</w:t>
      </w:r>
    </w:p>
    <w:p>
      <w:pPr>
        <w:pStyle w:val="TextBody"/>
        <w:bidi w:val="0"/>
        <w:spacing w:lineRule="auto" w:line="288" w:before="120" w:after="283"/>
        <w:ind w:left="0" w:right="0" w:firstLine="495"/>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The guidance is to improve the disclosure of expenses in commonly presented expense captions. The new guidance requires a public entity to provide tabular disclosure, on an annual and interim basis, of amounts for the following expense categories: (1) purchases of inventory, (2) employee compensation, (3) depreciation and (4) intangible asset amortization, as included in each relevant expense caption. A relevant expense caption is an expense caption presented on the face of the income statement that contains any of the expense categories noted. The guidance is effective for 2027 annual reporting, and in the first quarter of 2028 for interim reporting, with early adoption permitted, to be applied on a prospective basis, with retrospective application permitted. The Company will adopt the guidance when it becomes effective, in its 2027 annual reporting and each quarter thereafter, on a prospective basis. The Company is evaluating the impact the updated guidance will have on its disclosures.</w:t>
      </w:r>
    </w:p>
    <w:p>
      <w:pPr>
        <w:pStyle w:val="TextBody"/>
        <w:bidi w:val="0"/>
        <w:spacing w:lineRule="auto" w:line="288" w:before="120" w:after="283"/>
        <w:ind w:left="0" w:right="0" w:firstLine="495"/>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 (Topic 326)</w:t>
      </w:r>
      <w:r>
        <w:rPr>
          <w:rFonts w:ascii="Times New Roman;serif" w:hAnsi="Times New Roman;serif"/>
          <w:b w:val="false"/>
          <w:color w:val="000000"/>
          <w:sz w:val="20"/>
        </w:rPr>
        <w:t>: Measurement of Credit Losses for Accounts Receivable and Contract Assets. The guidance simplifies credit loss calculations and permits the election of a practical expedient to assume that conditions as of the balance sheet date do not change for the remaining life of the asset when estimating credit losses on current accounts receivable and current contract assets under ASC 606, Revenue from Contracts with Customers. The guidance is effective for annual reporting periods beginning after December 15, 2025. The Company adopted the guidance effective June 1, 2026, on a prospective basis. The adoption of the guidance did not have a material impact on the Company’s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3.Acquisition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1, 2026, the Company acquired Cathedra’s digital infrastructure platform and bitcoin mining operations, which are expected to complement Sphere’s existing bitcoin mining operations and expand its power portfolio. As described in Note 1, the Combination was effected by way of the Company’s wholly-owned subsidiary, S3D Acquisition Corp., which acquired all of the issued and outstanding shares of Cathedra in a share-for-share transaction, and Cathedra became a wholly-owned subsidiary of the Company. Immediately following the June 1, 2026 closing, former Cathedra security holders held approximately 33% of the voting rights in the combined company.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purchase consideration for the acquisition consisted of 2,405,300 common shares and 1,387,117 Series I preferred shares with a fair value as follows (in thousands): </w:t>
      </w:r>
    </w:p>
    <w:tbl>
      <w:tblPr>
        <w:tblW w:w="5028" w:type="dxa"/>
        <w:jc w:val="left"/>
        <w:tblInd w:w="0" w:type="dxa"/>
        <w:tblLayout w:type="fixed"/>
        <w:tblCellMar>
          <w:top w:w="28" w:type="dxa"/>
          <w:left w:w="28" w:type="dxa"/>
          <w:bottom w:w="28" w:type="dxa"/>
          <w:right w:w="28" w:type="dxa"/>
        </w:tblCellMar>
      </w:tblPr>
      <w:tblGrid>
        <w:gridCol w:w="1346"/>
        <w:gridCol w:w="1183"/>
        <w:gridCol w:w="1191"/>
        <w:gridCol w:w="109"/>
        <w:gridCol w:w="109"/>
        <w:gridCol w:w="109"/>
        <w:gridCol w:w="211"/>
        <w:gridCol w:w="616"/>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replacement awards and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result of the Combination, the Company has expanded beyond proprietary Bitcoin mining into a vertically integrated data center infrastructure platform, combining the Company’s mining fleet and capital markets access with Cathedra’s energy and power infrastructure assets and data center development capabilities.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acquisition was accounted for as a business combination under ASC 805 using the acquisition method of accounting. The results of Cathedra’s operations have been included in the Company’s condensed consolidated statements of operations from the acquisition date, and reflect revenue of $0.4 million and an operating loss of $0.6 million. The transaction was considered a stock-deal for tax purposes and as such a deferred tax liability was recorded to recognize the tax impact for the differences in the book and tax basis of the assets acquired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purchase price allocation based on the estimated fair values of assets acquired and liabilities assumed as of June 1, 2026 (in thousands):</w:t>
      </w:r>
    </w:p>
    <w:tbl>
      <w:tblPr>
        <w:tblW w:w="5252" w:type="dxa"/>
        <w:jc w:val="left"/>
        <w:tblInd w:w="0" w:type="dxa"/>
        <w:tblLayout w:type="fixed"/>
        <w:tblCellMar>
          <w:top w:w="28" w:type="dxa"/>
          <w:left w:w="28" w:type="dxa"/>
          <w:bottom w:w="28" w:type="dxa"/>
          <w:right w:w="28" w:type="dxa"/>
        </w:tblCellMar>
      </w:tblPr>
      <w:tblGrid>
        <w:gridCol w:w="1429"/>
        <w:gridCol w:w="1254"/>
        <w:gridCol w:w="1261"/>
        <w:gridCol w:w="109"/>
        <w:gridCol w:w="109"/>
        <w:gridCol w:w="109"/>
        <w:gridCol w:w="211"/>
        <w:gridCol w:w="61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 customer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identifiable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purchase price over the net assets acquired. The Company expects the goodwill balance not to be deductible for tax purposes. Goodwill is primarily attributed to growth opportunities as well as expected synergies from combining the operations of Cathedra, including its digital infrastructure platform, data center operations, and proprietary Bitcoin mining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Series I preferred shares are not publicly traded and do not have a quoted price in an active market. Accordingly, the fair value of the Series I preferred shares at June 1, 2026 was determined using an option pricing method to allocate the total equity value of the Company, estimated using a market approach, the guideline public company method, and then applying a discount for lack of marketability, resulting in a fair value of $1.93 per Series I preferred share on a non-marketable, minority-interest basis. These inputs, including volatility and a risk-free rate, used in this valuation are Level 3 inputs.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property and equipment was estimated by applying the cost approach, which estimates fair value using replacement or reproduction cost of an asset of comparable utility, adjusted for loss in value due to depreciation and economic obsolescence, which are considered Level 3 inputs. The fair value of the customer relationships intangible asset was determined using a discounted cash flow model that incorporates the excess earnings method, which are considered Level 3 inputs, and will be amortized on a straight-line basis over the projected pattern of economic benefits of five years.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costs of $3.0 million were incurred in connection with the Combination including consulting fees, legal and professional fees for brokering and due diligence services and were recognized in general and administrative expense in the condensed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Pro Forma Financial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reflects the acquisition as if it had occurred on January 1, 2025, and includes pro forma adjustments to the Company’s historical financial statements for the indicated periods (in thousands):</w:t>
      </w:r>
    </w:p>
    <w:tbl>
      <w:tblPr>
        <w:tblW w:w="9431" w:type="dxa"/>
        <w:jc w:val="left"/>
        <w:tblInd w:w="0" w:type="dxa"/>
        <w:tblLayout w:type="fixed"/>
        <w:tblCellMar>
          <w:top w:w="28" w:type="dxa"/>
          <w:left w:w="28" w:type="dxa"/>
          <w:bottom w:w="28" w:type="dxa"/>
          <w:right w:w="28" w:type="dxa"/>
        </w:tblCellMar>
      </w:tblPr>
      <w:tblGrid>
        <w:gridCol w:w="1371"/>
        <w:gridCol w:w="1208"/>
        <w:gridCol w:w="1215"/>
        <w:gridCol w:w="109"/>
        <w:gridCol w:w="109"/>
        <w:gridCol w:w="109"/>
        <w:gridCol w:w="211"/>
        <w:gridCol w:w="796"/>
        <w:gridCol w:w="109"/>
        <w:gridCol w:w="109"/>
        <w:gridCol w:w="109"/>
        <w:gridCol w:w="109"/>
        <w:gridCol w:w="211"/>
        <w:gridCol w:w="616"/>
        <w:gridCol w:w="109"/>
        <w:gridCol w:w="109"/>
        <w:gridCol w:w="109"/>
        <w:gridCol w:w="109"/>
        <w:gridCol w:w="211"/>
        <w:gridCol w:w="796"/>
        <w:gridCol w:w="109"/>
        <w:gridCol w:w="109"/>
        <w:gridCol w:w="109"/>
        <w:gridCol w:w="109"/>
        <w:gridCol w:w="211"/>
        <w:gridCol w:w="796"/>
        <w:gridCol w:w="154"/>
      </w:tblGrid>
      <w:tr>
        <w:trPr/>
        <w:tc>
          <w:tcPr>
            <w:tcW w:w="137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br/>
              <w:t>Ended June 30,</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unaudited pro forma financial information is not meant to show what the Company's actual results would have been if the acquisition had happened on the date assumed, and it should not be taken as a prediction of the Company's future financial position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4.Fair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authoritative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 of cash equivalents, accounts receivable, accounts payable and accrued liabilities are generally considered to be representative of their respective fair values because of the short-term nature of those instruments.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that are Measured at Fair Value on a Recurring Basis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include cash equivalents, Bitcoin, accounts receivable, accounts payable, and accrued liabilities. Fair value estimates of these instruments are made at a specific point in time, based on relevant market information. These estimates may be subjective in nature and involve uncertainties and matters of significant judgment and therefore cannot be determined with precision.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the assets that are measured at fair value on a recurring basis (in thousands):</w:t>
      </w:r>
    </w:p>
    <w:tbl>
      <w:tblPr>
        <w:tblW w:w="5086" w:type="dxa"/>
        <w:jc w:val="center"/>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5086" w:type="dxa"/>
        <w:jc w:val="center"/>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Assets and Liabilities that are Measured at Fair Value on a Nonrecurring Basis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Non-financial assets such as property and equipment, goodwill, operating lease right-of-use assets, and intangible assets are recorded at fair value when an impairment is recognized or at the time acquired in an asset acquisition or business combination measured using significant unobservable inputs (Level 3). For the three and six months ended June 30, 2026, there were impairment charges associated with property and equipment, and intangibles recorded and it reduced the carrying amount of such assets subject to the impairment to their estimated fair value, as discussed in </w:t>
      </w:r>
      <w:r>
        <w:rPr>
          <w:rFonts w:ascii="Times New Roman;serif" w:hAnsi="Times New Roman;serif"/>
          <w:b w:val="false"/>
          <w:i/>
          <w:color w:val="000000"/>
          <w:sz w:val="20"/>
        </w:rPr>
        <w:t xml:space="preserve">Note 7 Certain Balance Sheet Items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Note 8 Intangible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5.Bitcoin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activities of Bitcoin (in thousands):</w:t>
      </w:r>
    </w:p>
    <w:tbl>
      <w:tblPr>
        <w:tblW w:w="4401" w:type="dxa"/>
        <w:jc w:val="center"/>
        <w:tblInd w:w="0" w:type="dxa"/>
        <w:tblLayout w:type="fixed"/>
        <w:tblCellMar>
          <w:top w:w="28" w:type="dxa"/>
          <w:left w:w="28" w:type="dxa"/>
          <w:bottom w:w="28" w:type="dxa"/>
          <w:right w:w="28" w:type="dxa"/>
        </w:tblCellMar>
      </w:tblPr>
      <w:tblGrid>
        <w:gridCol w:w="1240"/>
        <w:gridCol w:w="1086"/>
        <w:gridCol w:w="1094"/>
        <w:gridCol w:w="211"/>
        <w:gridCol w:w="616"/>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Bitcoin mined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Bitcoin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Bitcoin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assumed from acquisition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received approximately $0.3 million of customer payments in Tether (USDT) and was immediately converted into U.S. dollars. Because the conversion occurred upon receipt and resulted in no gain or loss, the transaction is reflected as a cash inflow from operating activities in the condensed consolidated statements of cash flows. The Company continues to only hold Bitcoin as part of its digital asset strategy, and the receipt and conversion of USDT did not impact its digital asset balances.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Bitcoin holdings (in thousands except for number of Bitcoin):</w:t>
      </w:r>
    </w:p>
    <w:tbl>
      <w:tblPr>
        <w:tblW w:w="4562" w:type="dxa"/>
        <w:jc w:val="left"/>
        <w:tblInd w:w="0" w:type="dxa"/>
        <w:tblLayout w:type="fixed"/>
        <w:tblCellMar>
          <w:top w:w="28" w:type="dxa"/>
          <w:left w:w="28" w:type="dxa"/>
          <w:bottom w:w="28" w:type="dxa"/>
          <w:right w:w="28" w:type="dxa"/>
        </w:tblCellMar>
      </w:tblPr>
      <w:tblGrid>
        <w:gridCol w:w="781"/>
        <w:gridCol w:w="688"/>
        <w:gridCol w:w="690"/>
        <w:gridCol w:w="211"/>
        <w:gridCol w:w="616"/>
        <w:gridCol w:w="109"/>
        <w:gridCol w:w="109"/>
        <w:gridCol w:w="109"/>
        <w:gridCol w:w="109"/>
        <w:gridCol w:w="245"/>
        <w:gridCol w:w="716"/>
        <w:gridCol w:w="179"/>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Bitcoin held</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basis of Bitcoin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had a realized loss on the sale of Bitcoin of $0.2 million and a realized gain of $0.3 million, respectively. For the six months ended June 30, 2026 and 2025, the Company had a realized loss of $1.1 million and a realized gain of $0.2 million, respectively, on the sale of Bitcoin.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additions of Bitcoin were generated by the Company’s Bitcoin mining operations, except Bitcoin assumed from acquisition. All dispositions of Bitcoin were the result of sales on the open market and used to fund operations. Bitcoin holdings are not subject to sale restrictions and do not serve as collateral for any agreements. As of June 30, 2026 and December 31, 2025, the Company held no other cryptocurrency.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6.    Note Receivable</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Rainmaker Promissory Note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2020, the Company entered into a Senior Secured Convertible Promissory Note with Rainmaker Worldwide Inc. (the “Rainmaker Note”). The Rainmaker Note is secured as a registered lien under the Uniform Commercial Code and the Personal Property Security Act (Ontario) against the assets of Rainmaker. In January 2025, the Company and Rainmaker entered into Amendment No. 4 to the Rainmaker Note and the principal amount was revised to $4.6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and Rainmaker entered into a settlement agreement to the Rainmaker Note and both parties agreed the outstanding amount would be settled by a one-time payment of $0.5 million by February 27, 2026 (the “Settlement Date”). Such payment was not received by the Settlement Date, and based on the settlement agreement, the amount increases by $50,000 the first business day of each month following the Settlement Date. All amounts related to the Rainmaker Note have been fully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7.    Certain Balance Sheet Items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other current assets (in thousands): </w:t>
      </w:r>
    </w:p>
    <w:tbl>
      <w:tblPr>
        <w:tblW w:w="5463" w:type="dxa"/>
        <w:jc w:val="center"/>
        <w:tblInd w:w="0" w:type="dxa"/>
        <w:tblLayout w:type="fixed"/>
        <w:tblCellMar>
          <w:top w:w="28" w:type="dxa"/>
          <w:left w:w="28" w:type="dxa"/>
          <w:bottom w:w="28" w:type="dxa"/>
          <w:right w:w="28" w:type="dxa"/>
        </w:tblCellMar>
      </w:tblPr>
      <w:tblGrid>
        <w:gridCol w:w="1106"/>
        <w:gridCol w:w="975"/>
        <w:gridCol w:w="979"/>
        <w:gridCol w:w="211"/>
        <w:gridCol w:w="616"/>
        <w:gridCol w:w="109"/>
        <w:gridCol w:w="109"/>
        <w:gridCol w:w="109"/>
        <w:gridCol w:w="109"/>
        <w:gridCol w:w="245"/>
        <w:gridCol w:w="716"/>
        <w:gridCol w:w="179"/>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mining and hosting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mining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property and equipment, net (in thousands):</w:t>
      </w:r>
    </w:p>
    <w:tbl>
      <w:tblPr>
        <w:tblW w:w="4921" w:type="dxa"/>
        <w:jc w:val="center"/>
        <w:tblInd w:w="0" w:type="dxa"/>
        <w:tblLayout w:type="fixed"/>
        <w:tblCellMar>
          <w:top w:w="28" w:type="dxa"/>
          <w:left w:w="28" w:type="dxa"/>
          <w:bottom w:w="28" w:type="dxa"/>
          <w:right w:w="28" w:type="dxa"/>
        </w:tblCellMar>
      </w:tblPr>
      <w:tblGrid>
        <w:gridCol w:w="875"/>
        <w:gridCol w:w="766"/>
        <w:gridCol w:w="773"/>
        <w:gridCol w:w="211"/>
        <w:gridCol w:w="721"/>
        <w:gridCol w:w="109"/>
        <w:gridCol w:w="109"/>
        <w:gridCol w:w="109"/>
        <w:gridCol w:w="109"/>
        <w:gridCol w:w="221"/>
        <w:gridCol w:w="757"/>
        <w:gridCol w:w="161"/>
      </w:tblGrid>
      <w:tr>
        <w:trPr/>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Mining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for property and equipment was $0.9 million and $1.3 million for the three months ended June 30, 2026 and 2025, respectively. Depreciation expense for property and equipment was $1.7 million and $2.5 million for the six months ended June 30, 2026 and 2025, respectively.</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Mining Equipment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completed the sale of older generation mining equipment not in service for proceeds of $1.2 million, which was applied to the purchase of new mining equipment.</w:t>
      </w:r>
    </w:p>
    <w:p>
      <w:pPr>
        <w:pStyle w:val="TextBody"/>
        <w:bidi w:val="0"/>
        <w:spacing w:lineRule="auto" w:line="288" w:before="10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Impairment of Property and Equipment</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three and six months ended June 30, 2026, the Company recorded an impairment charge, using the fair value market approach, to mining equipment of $7.0 million related to the change in market conditions and decline in Bitcoin prices. For the three and six months ended June 30, 2025, there were no impairments recognized.</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other non-current assets (in thousands):</w:t>
      </w:r>
    </w:p>
    <w:tbl>
      <w:tblPr>
        <w:tblW w:w="4473" w:type="dxa"/>
        <w:jc w:val="center"/>
        <w:tblInd w:w="0" w:type="dxa"/>
        <w:tblLayout w:type="fixed"/>
        <w:tblCellMar>
          <w:top w:w="28" w:type="dxa"/>
          <w:left w:w="28" w:type="dxa"/>
          <w:bottom w:w="28" w:type="dxa"/>
          <w:right w:w="28" w:type="dxa"/>
        </w:tblCellMar>
      </w:tblPr>
      <w:tblGrid>
        <w:gridCol w:w="749"/>
        <w:gridCol w:w="658"/>
        <w:gridCol w:w="663"/>
        <w:gridCol w:w="211"/>
        <w:gridCol w:w="616"/>
        <w:gridCol w:w="109"/>
        <w:gridCol w:w="109"/>
        <w:gridCol w:w="109"/>
        <w:gridCol w:w="109"/>
        <w:gridCol w:w="289"/>
        <w:gridCol w:w="639"/>
        <w:gridCol w:w="212"/>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Other Investments - assumed in Acquisition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holds an investment in Low Time Preference Fund II, LLC, a private venture capital fund that qualifies as an investment company and reports member-level net asset value (“NAV”). This investment is measured at fair value using NAV as a practical expedient. As of June 30, 2026, the investment had a fair value of approximately $0.3 million. The fund is a private pooled investment vehicle with no public market and no observable pricing; valuation is based on NAV information provided by the fund’s asset manager. Because the investment is measured using the NAV practical expedient, it is excluded from the fair value hierarchy. The Company has no unfunded commitments related to this investment, and no gains or losses were recognized in the condensed consolidated statement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holds 35,000,000 common shares of Silvermoon Inc. (“Silvermoon”), an equity security accounted for using the measurement alternative because the security does not have a readily determinable fair value. The investment is carried at cost, adjusted for impairment and observable price changes. As of June 30, 2026, no impairments or observable price changes were identified. Although the Company holds more than 20% of Silvermoon’s outstanding shares, it has no representation on Silvermoon’s board and no participation in the policy-making processes; therefore, the equity method is not applied. As of June 30, 2026, the investment’s carrying amount was approximately $0.3 million.</w:t>
      </w:r>
    </w:p>
    <w:p>
      <w:pPr>
        <w:pStyle w:val="TextBody"/>
        <w:bidi w:val="0"/>
        <w:spacing w:lineRule="auto" w:line="288" w:before="10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Other Current Liabilities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other current liabilities (in thousands):</w:t>
      </w:r>
    </w:p>
    <w:tbl>
      <w:tblPr>
        <w:tblW w:w="4795" w:type="dxa"/>
        <w:jc w:val="center"/>
        <w:tblInd w:w="0" w:type="dxa"/>
        <w:tblLayout w:type="fixed"/>
        <w:tblCellMar>
          <w:top w:w="28" w:type="dxa"/>
          <w:left w:w="28" w:type="dxa"/>
          <w:bottom w:w="28" w:type="dxa"/>
          <w:right w:w="28" w:type="dxa"/>
        </w:tblCellMar>
      </w:tblPr>
      <w:tblGrid>
        <w:gridCol w:w="797"/>
        <w:gridCol w:w="702"/>
        <w:gridCol w:w="705"/>
        <w:gridCol w:w="253"/>
        <w:gridCol w:w="741"/>
        <w:gridCol w:w="131"/>
        <w:gridCol w:w="109"/>
        <w:gridCol w:w="109"/>
        <w:gridCol w:w="109"/>
        <w:gridCol w:w="311"/>
        <w:gridCol w:w="599"/>
        <w:gridCol w:w="22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8.    Intangible Assets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intangible assets, net (in thousands):</w:t>
      </w:r>
    </w:p>
    <w:tbl>
      <w:tblPr>
        <w:tblW w:w="4846" w:type="dxa"/>
        <w:jc w:val="center"/>
        <w:tblInd w:w="0" w:type="dxa"/>
        <w:tblLayout w:type="fixed"/>
        <w:tblCellMar>
          <w:top w:w="28" w:type="dxa"/>
          <w:left w:w="28" w:type="dxa"/>
          <w:bottom w:w="28" w:type="dxa"/>
          <w:right w:w="28" w:type="dxa"/>
        </w:tblCellMar>
      </w:tblPr>
      <w:tblGrid>
        <w:gridCol w:w="847"/>
        <w:gridCol w:w="745"/>
        <w:gridCol w:w="747"/>
        <w:gridCol w:w="211"/>
        <w:gridCol w:w="721"/>
        <w:gridCol w:w="109"/>
        <w:gridCol w:w="109"/>
        <w:gridCol w:w="109"/>
        <w:gridCol w:w="109"/>
        <w:gridCol w:w="221"/>
        <w:gridCol w:w="757"/>
        <w:gridCol w:w="161"/>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agreements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agreements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$0.4 million for both the three months ended June 30, 2026 and 2025. Amortization expense of intangible assets was $0.8 million and $0.7 million for the six months ended June 30, 2026 and 2025,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Estimated amortization expense for intangible assets is approximately $0.3 million for the remainder of 2026 and $0.1 million, $0.1 million, $0.1 million, $0.1 million, and in fiscal years 2027, 2028, 2029, and 2030,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Impairment of Intangible Assets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three and six months ended June 30, 2026, the Company recorded an impairment charge to supplier agreements related to the decline in Bitcoin prices. The Company compared the indicated fair value to the carrying value of its finite-lived asset, and as a result of the analysis, an impairment charge of $0.6 million was recorded. For the three and six months ended June 30, 2025, there were no impairments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9.    Preferred Shares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Series I Preferred Shares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May 29, 2026, the Company filed articles of amendment to create a new series of preferred shares, being, an unlimited number of Series I Preferred Shares (the “Series I Preferred Shares”), and to provide for the rights, privileges, restrictions and conditions attaching thereto.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Holders of outstanding Series I Preferred Shares are entitled to receive dividends, subject to applicable law and the rights of the holders of Series H Preferred Shares, payable annually on June 1 of each applicable calendar year, or on the next business day if such date is not a business day and are noncumulative. Dividends are payable exclusively in additional Series I Preferred Shares (“PIK Shares”) at 8.0% per annum for the 36-month period following June 1, 2026. The number of Series I Preferred Shares issuable on each dividend payment date is calculated based on the number of Series I Preferred Shares held by the applicable holder on that date, rounded down to the nearest whole share. Holders of Series I Preferred Shares have no right to receive dividends after June 1, 2029.</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share of Series I Preferred Shares (other than PIK Shares) is convertible into one common share of the Company on the following schedule: (x) up to 33-1/3% of such Series I Preferred Shares following the 12-month anniversary of June 1, 2026; (y) up to an aggregate of 66-2/3% of such Series I Preferred Shares following the 24-month anniversary of June 1, 2026; and (z) up to an aggregate of 100% of such Series I Preferred Shares following the 36-month anniversary of June 1, 2026, in each case, excluding any PIK Shares. PIK Shares are convertible into the Company’s common shares on a one-for-one basis on or after June 1, 2029.</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common shares rank junior to the Series I Preferred Shares in all respects (except as provided in connection with certain liquidation events described below). The Company’s Series H Preferred Shares rank senior to the Series I Preferred Shares. The Series I Preferred Shares carry no general voting rights, except for certain limited protective voting rights as expressly provided in the articles of amendment and as otherwise required by law.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number of the Company’s common shares issuable upon conversion of the Series I Preferred Shares is subject to a cap (the “Exchange Cap”) equal to the maximum number of the Company’s common shares that may be issued upon such conversion without breaching its obligations under the rules of Nasdaq, unless the Company obtains shareholder approval for issuances in excess of such amount. The Exchange Cap is allocated pro rata among the holders of Series I Preferred Shares. The Company is not required under any circumstance to settle any conversion of the Series I Preferred Shares in cash and may settle any such conversion through the delivery of unregistered common shares.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 Company’s Chief Executive Officer (“CEO”) ceases to be the CEO of the Company as a result of (i) a termination of his employment by the Company without cause, (ii) his resignation for good reason (as defined in his employment agreement with the Company), or (iii) his entry into a mutually agreed separation agreement with the Company, or if the CEO is not included on the Company's management slate of directors at any meeting of the Company's shareholders, then, effective upon such occurrence, each holder of Series I Preferred Shares may convert, in whole or in part and at any time thereafter, all of its Series I Preferred Shares, including all PIK Shares previously issued to such holder, into the Company’s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event of a voluntary or involuntary liquidation, dissolution or winding-up of the Company, holders of Series I Preferred Shares are entitled to receive, before any distribution to holders of the Company’s common shares or other junior shares, an amount per Series I Preferred Share equal to the greater of (i) the closing sale price of the Company’s common shares on the trading day immediately preceding such event and (ii) the amount such holder would have received had its Series I Preferred Shares been converted into common shares immediately prior to the liquidation event. After payment of such amounts, holders of Series I Preferred Shares and common shares are not entitled to share in any further distribution of assets of the Company in connection with such liquidation, dissolution or winding-up.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Until June 1, 2029, the Company may not, without the approval of the holders of a majority of the then outstanding Series I Preferred Shares: (1) make any return of capital in respect of shares ranking junior to the Series I Preferred Shares (unless holders of Series I Preferred Shares participate on an equal and proportionate basis with the holders of common shares), or (2) make any return of capital in respect of shares ranking equal with the Series I Preferred Shares (unless holders of Series I Preferred Shares participate on an equal and proportionate basis with the holders of common shares). These restrictions do not limit the Company's ability to redeem or repurchase common share purchase warrants or other securities convertible into or exchangeable for the Company’s common shares.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Series H Preferred Shares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October 1, 2021, the Company filed articles of amendment to create a series of preferred shares, being, an unlimited number of Series H Preferred Shares and to provide for the rights, privileges, restrictions and conditions attaching thereto. The Series H Preferred Shares are convertible into 14.286 common shares for every Series H Preferred Share. Each holder of the Series H Preferred Shares, may, subject to prior shareholder approval, convert all or any part of the Series H Preferred Shares provided that after such conversion the common shares issuable, together with all the common shares held by the shareholder in the aggregate would not exceed 9.99% of the total number of outstanding common shares of the Company. Each Series H Preferred Share has a stated value of $1,000. The Series H Preferred Shares</w:t>
      </w:r>
      <w:r>
        <w:rPr>
          <w:color w:val="000000"/>
          <w:shd w:fill="FFFFFF" w:val="clear"/>
        </w:rPr>
        <w:t xml:space="preserve"> </w:t>
      </w:r>
      <w:r>
        <w:rPr>
          <w:rFonts w:ascii="Times New Roman;serif" w:hAnsi="Times New Roman;serif"/>
          <w:b w:val="false"/>
          <w:color w:val="000000"/>
          <w:sz w:val="20"/>
          <w:shd w:fill="FFFFFF" w:val="clear"/>
        </w:rPr>
        <w:t xml:space="preserve">are non-voting and </w:t>
      </w:r>
      <w:r>
        <w:rPr>
          <w:rFonts w:ascii="Times New Roman;serif" w:hAnsi="Times New Roman;serif"/>
          <w:b w:val="false"/>
          <w:color w:val="000000"/>
          <w:sz w:val="20"/>
        </w:rPr>
        <w:t>do not accrue dividends. Features of the Series H Preferred Shares include; in the event of the liquidation, dissolution or winding-up of the Company, whether voluntary or involuntary, deemed liquidation or any other distribution of the assets of the Company among its shareholders for the purpose of winding-up its affairs, the Series H Preferred Shares shall entitle each of the holders thereof to receive an amount equal to the Series H subscription price per Series H Preferred Share, as defined in the agreement, to be paid before any amount is paid or any assets of the Company are distributed to the holders of its common shares.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the authoritative guidance for distinguishing liabilities from equity, the Company has determined that its Series H preferred shares carry certain redemption features beyond the control of the Company. Accordingly, the Series H Preferred Shares are presented as temporary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10.Share Capital</w:t>
      </w:r>
    </w:p>
    <w:p>
      <w:pPr>
        <w:pStyle w:val="TextBody"/>
        <w:bidi w:val="0"/>
        <w:spacing w:lineRule="auto" w:line="288" w:before="10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At-the-Market Offering Program</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3, 2025, the Company entered into a sales agreement (the “ATM Agreement”) with A.G.P./Alliance Global Partners (“AGP”), as sales agent. In accordance with the terms of the ATM Agreement, the Company may offer and sell from time to time through or to AGP, as agent or principal, the Company's common shares having an aggregate offering price of up to $8.0 million (the “Placement Shares”). The ATM Agreement can be terminated by either party by giving two days written notice.</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Neither the Company nor AGP are obligated to sell any Placement Shares pursuant to the ATM Agreement. Subject to the terms and conditions of the ATM Agreement, the AGP will use commercially reasonable efforts, consistent with its normal trading and sales practices and applicable state and federal law, rules and regulations and the rules of Nasdaq, to sell the Placement Shares from time to time based upon the Company’s instructions, including any price, time or size limits or other customary parameters or conditions the Company may impose. Sales of the Placement Shares, if any, will be made on Nasdaq at market prices by any method permitted by law deemed to be an “at the market offering” as defined in Rule 415 of the Securities Act of 1933, as amended. For the three months ended June 30, 2026 and 2025, under the ATM Agreement the Company issued 892,582 and nil common shares, respectively, for $2.1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and nil of net proceeds, respectively. For the six months ended June 30, 2026 and 2025, under the ATM Agreement the Company issued 1,148,724 and 21,045 common shares, respectively, for $2.5 million and $0.1 million of net proceeds, respectively. See Note 16 regarding the Company’s entry into the Amended and Restated ATM Agreement on July 31,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Unlimited authorized shares of common shares at no par value are available to the Company. At June 30, 2026, the following table summarizes outstanding warrants to purchase common shares:</w:t>
      </w:r>
    </w:p>
    <w:tbl>
      <w:tblPr>
        <w:tblW w:w="8926" w:type="dxa"/>
        <w:jc w:val="center"/>
        <w:tblInd w:w="0" w:type="dxa"/>
        <w:tblLayout w:type="fixed"/>
        <w:tblCellMar>
          <w:top w:w="28" w:type="dxa"/>
          <w:left w:w="28" w:type="dxa"/>
          <w:bottom w:w="28" w:type="dxa"/>
          <w:right w:w="28" w:type="dxa"/>
        </w:tblCellMar>
      </w:tblPr>
      <w:tblGrid>
        <w:gridCol w:w="521"/>
        <w:gridCol w:w="457"/>
        <w:gridCol w:w="462"/>
        <w:gridCol w:w="109"/>
        <w:gridCol w:w="109"/>
        <w:gridCol w:w="109"/>
        <w:gridCol w:w="604"/>
        <w:gridCol w:w="604"/>
        <w:gridCol w:w="606"/>
        <w:gridCol w:w="109"/>
        <w:gridCol w:w="109"/>
        <w:gridCol w:w="109"/>
        <w:gridCol w:w="225"/>
        <w:gridCol w:w="769"/>
        <w:gridCol w:w="116"/>
        <w:gridCol w:w="109"/>
        <w:gridCol w:w="109"/>
        <w:gridCol w:w="109"/>
        <w:gridCol w:w="529"/>
        <w:gridCol w:w="529"/>
        <w:gridCol w:w="531"/>
        <w:gridCol w:w="109"/>
        <w:gridCol w:w="109"/>
        <w:gridCol w:w="109"/>
        <w:gridCol w:w="485"/>
        <w:gridCol w:w="485"/>
        <w:gridCol w:w="695"/>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r>
      <w:tr>
        <w:trPr/>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142,955 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8, 2026</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7, 2027</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7, 2027</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7, 2027</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216,293 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2026</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873,643 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15, 2031</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115,867 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1,433,045 </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These warrants were assumed from the June 1, 2026 Cathedra acquisition and have exercise prices ranging from $11.08 to $272.40, expiration dates ranging from November 2026 to December 2027, expected volatility of 121.2%, and risk-free interest rate of 3.8%-3.9%.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11.Equity Incentive Plan</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option awards are estimated on the date of grant using the Black-Scholes model. Expected volatility was based on historical volatility of the Company’s common shares. The expected term of options granted was based on the simplified method. The risk-free interest rate was based on the U.S. Treasury yield for a period consistent with the expected term of the option in effect at the time of the grant. The dividend yield assumption was based on the expectation of no future dividend payments. Option awards can be granted for a maximum term of up to 10 years. </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assumptions used in the Black-Scholes model were as follows:</w:t>
      </w:r>
    </w:p>
    <w:tbl>
      <w:tblPr>
        <w:tblW w:w="5661" w:type="dxa"/>
        <w:jc w:val="left"/>
        <w:tblInd w:w="0" w:type="dxa"/>
        <w:tblLayout w:type="fixed"/>
        <w:tblCellMar>
          <w:top w:w="28" w:type="dxa"/>
          <w:left w:w="28" w:type="dxa"/>
          <w:bottom w:w="28" w:type="dxa"/>
          <w:right w:w="28" w:type="dxa"/>
        </w:tblCellMar>
      </w:tblPr>
      <w:tblGrid>
        <w:gridCol w:w="756"/>
        <w:gridCol w:w="663"/>
        <w:gridCol w:w="666"/>
        <w:gridCol w:w="155"/>
        <w:gridCol w:w="155"/>
        <w:gridCol w:w="156"/>
        <w:gridCol w:w="135"/>
        <w:gridCol w:w="135"/>
        <w:gridCol w:w="135"/>
        <w:gridCol w:w="243"/>
        <w:gridCol w:w="243"/>
        <w:gridCol w:w="248"/>
        <w:gridCol w:w="109"/>
        <w:gridCol w:w="109"/>
        <w:gridCol w:w="109"/>
        <w:gridCol w:w="155"/>
        <w:gridCol w:w="155"/>
        <w:gridCol w:w="156"/>
        <w:gridCol w:w="133"/>
        <w:gridCol w:w="133"/>
        <w:gridCol w:w="133"/>
        <w:gridCol w:w="226"/>
        <w:gridCol w:w="226"/>
        <w:gridCol w:w="327"/>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br/>
              <w:t>Ended June 30,</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148.0%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option activity:</w:t>
      </w:r>
    </w:p>
    <w:tbl>
      <w:tblPr>
        <w:tblW w:w="9505" w:type="dxa"/>
        <w:jc w:val="center"/>
        <w:tblInd w:w="0" w:type="dxa"/>
        <w:tblLayout w:type="fixed"/>
        <w:tblCellMar>
          <w:top w:w="28" w:type="dxa"/>
          <w:left w:w="28" w:type="dxa"/>
          <w:bottom w:w="28" w:type="dxa"/>
          <w:right w:w="28" w:type="dxa"/>
        </w:tblCellMar>
      </w:tblPr>
      <w:tblGrid>
        <w:gridCol w:w="1380"/>
        <w:gridCol w:w="1213"/>
        <w:gridCol w:w="1217"/>
        <w:gridCol w:w="484"/>
        <w:gridCol w:w="484"/>
        <w:gridCol w:w="486"/>
        <w:gridCol w:w="109"/>
        <w:gridCol w:w="109"/>
        <w:gridCol w:w="109"/>
        <w:gridCol w:w="211"/>
        <w:gridCol w:w="721"/>
        <w:gridCol w:w="109"/>
        <w:gridCol w:w="109"/>
        <w:gridCol w:w="109"/>
        <w:gridCol w:w="109"/>
        <w:gridCol w:w="349"/>
        <w:gridCol w:w="349"/>
        <w:gridCol w:w="351"/>
        <w:gridCol w:w="109"/>
        <w:gridCol w:w="109"/>
        <w:gridCol w:w="109"/>
        <w:gridCol w:w="319"/>
        <w:gridCol w:w="616"/>
        <w:gridCol w:w="235"/>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Subject to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 January 1, 2026</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56,586 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 June 30, 2026</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48,551 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 June 30, 2026</w:t>
            </w:r>
          </w:p>
        </w:tc>
        <w:tc>
          <w:tcPr>
            <w:tcW w:w="9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48,551 </w:t>
            </w:r>
          </w:p>
        </w:tc>
        <w:tc>
          <w:tcPr>
            <w:tcW w:w="4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 June 30, 2026</w:t>
            </w:r>
          </w:p>
        </w:tc>
        <w:tc>
          <w:tcPr>
            <w:tcW w:w="96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48,551 </w:t>
            </w:r>
          </w:p>
        </w:tc>
        <w:tc>
          <w:tcPr>
            <w:tcW w:w="4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w:t>
      </w:r>
    </w:p>
    <w:tbl>
      <w:tblPr>
        <w:tblW w:w="7209" w:type="dxa"/>
        <w:jc w:val="center"/>
        <w:tblInd w:w="0" w:type="dxa"/>
        <w:tblLayout w:type="fixed"/>
        <w:tblCellMar>
          <w:top w:w="28" w:type="dxa"/>
          <w:left w:w="28" w:type="dxa"/>
          <w:bottom w:w="28" w:type="dxa"/>
          <w:right w:w="28" w:type="dxa"/>
        </w:tblCellMar>
      </w:tblPr>
      <w:tblGrid>
        <w:gridCol w:w="1217"/>
        <w:gridCol w:w="1068"/>
        <w:gridCol w:w="1074"/>
        <w:gridCol w:w="488"/>
        <w:gridCol w:w="488"/>
        <w:gridCol w:w="296"/>
        <w:gridCol w:w="109"/>
        <w:gridCol w:w="109"/>
        <w:gridCol w:w="109"/>
        <w:gridCol w:w="449"/>
        <w:gridCol w:w="1089"/>
        <w:gridCol w:w="232"/>
        <w:gridCol w:w="109"/>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January 1,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179,165 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1,860,295 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released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(482,626)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June 30,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1,556,834 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unreleased — June 30, 2026</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RSUs was based on the closing market value of the Company’s common shares on the date of grant. RSUs typically vest over a period of 12 months to three years from the original date of grant. The total grant date fair value of RSUs vested during the six months ended June 30, 2026 and 2025 was approximately $1.1 million and $0.9 million, respectively. The fair value of RSUs vested during the six months ended June 30, 2026 and 2025 was approximately $0.9 million and $0.6 million, respectively.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 with a Performance Condition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July 2025, the Company entered into a financial advisory agreement and issued to non-employees RSU grants with a performance condition, of which 50% of the RSUs were vested on the date of grant and the common shares issued. On June 1, 2026, the outstanding RSUs vested upon the achievement of the specific performance condition. See Note 15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more information on the related financial advisory agreement. The total grant date fair value of RSUs vested during the six months ended June 30, 2026 and 2025 was $0.2 million and nil, respectively. The fair value of RSUs with a performance condition vested during the six months ended June 30, 2026 and 2025 was $0.1 million and nil,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with performance condition activity:</w:t>
      </w:r>
    </w:p>
    <w:tbl>
      <w:tblPr>
        <w:tblW w:w="6368" w:type="dxa"/>
        <w:jc w:val="left"/>
        <w:tblInd w:w="0" w:type="dxa"/>
        <w:tblLayout w:type="fixed"/>
        <w:tblCellMar>
          <w:top w:w="28" w:type="dxa"/>
          <w:left w:w="28" w:type="dxa"/>
          <w:bottom w:w="28" w:type="dxa"/>
          <w:right w:w="28" w:type="dxa"/>
        </w:tblCellMar>
      </w:tblPr>
      <w:tblGrid>
        <w:gridCol w:w="978"/>
        <w:gridCol w:w="858"/>
        <w:gridCol w:w="863"/>
        <w:gridCol w:w="396"/>
        <w:gridCol w:w="399"/>
        <w:gridCol w:w="296"/>
        <w:gridCol w:w="109"/>
        <w:gridCol w:w="109"/>
        <w:gridCol w:w="109"/>
        <w:gridCol w:w="449"/>
        <w:gridCol w:w="1089"/>
        <w:gridCol w:w="232"/>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January 1, 2026</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June 30, 2026</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135,403 fully vested RSAs granted in lieu of cash payment for services performed. The fair value of the RSAs granted of approximately $0.2 million was based on the closing price of the Company’s common shares on the date of grant. There were no RSAs granted during the six months ended June 30, 2025.</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compensation expense related to share-based compensation awards was recorded (in thousands):</w:t>
      </w:r>
    </w:p>
    <w:tbl>
      <w:tblPr>
        <w:tblW w:w="8849" w:type="dxa"/>
        <w:jc w:val="center"/>
        <w:tblInd w:w="0" w:type="dxa"/>
        <w:tblLayout w:type="fixed"/>
        <w:tblCellMar>
          <w:top w:w="28" w:type="dxa"/>
          <w:left w:w="28" w:type="dxa"/>
          <w:bottom w:w="28" w:type="dxa"/>
          <w:right w:w="28" w:type="dxa"/>
        </w:tblCellMar>
      </w:tblPr>
      <w:tblGrid>
        <w:gridCol w:w="1640"/>
        <w:gridCol w:w="1443"/>
        <w:gridCol w:w="1446"/>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br/>
              <w:t>Ended 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 general and</w:t>
              <w:br/>
              <w:t>     administrative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unrecognized estimated compensation cost by type of award and the weighted-average remaining requisite service period over which such expense is expected to be recognized (in thousands, unless otherwise noted):</w:t>
      </w:r>
    </w:p>
    <w:tbl>
      <w:tblPr>
        <w:tblW w:w="6956" w:type="dxa"/>
        <w:jc w:val="center"/>
        <w:tblInd w:w="0" w:type="dxa"/>
        <w:tblLayout w:type="fixed"/>
        <w:tblCellMar>
          <w:top w:w="28" w:type="dxa"/>
          <w:left w:w="28" w:type="dxa"/>
          <w:bottom w:w="28" w:type="dxa"/>
          <w:right w:w="28" w:type="dxa"/>
        </w:tblCellMar>
      </w:tblPr>
      <w:tblGrid>
        <w:gridCol w:w="207"/>
        <w:gridCol w:w="181"/>
        <w:gridCol w:w="183"/>
        <w:gridCol w:w="388"/>
        <w:gridCol w:w="1135"/>
        <w:gridCol w:w="201"/>
        <w:gridCol w:w="109"/>
        <w:gridCol w:w="109"/>
        <w:gridCol w:w="109"/>
        <w:gridCol w:w="1269"/>
        <w:gridCol w:w="1269"/>
        <w:gridCol w:w="1796"/>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Weighted-Average Recognition Period (years)</w:t>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4"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12.Net (Loss) Income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net (loss) income per share is computed by dividing net (loss) income applicable to common shareholders by the weighted-average number of common shares outstanding during the period. Diluted net (loss) income per share reflects the potential dilution of securities that could share in the earnings of an entity. The calculation of diluted net income (loss) per share gives effect to common share equivalents; however, potential common shares are excluded if their effect is anti-dilutive. Common share purchase warrants, options and RSUs outstanding, and preferred shares are considered common share equivalents and are only included in the calculation of diluted earnings per common share when net income is reported and their effect is dilutive.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reconciliation of the numerators and denominators is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744"/>
        <w:gridCol w:w="1522"/>
        <w:gridCol w:w="1533"/>
        <w:gridCol w:w="211"/>
        <w:gridCol w:w="784"/>
        <w:gridCol w:w="109"/>
        <w:gridCol w:w="109"/>
        <w:gridCol w:w="109"/>
        <w:gridCol w:w="109"/>
        <w:gridCol w:w="249"/>
        <w:gridCol w:w="727"/>
        <w:gridCol w:w="109"/>
        <w:gridCol w:w="109"/>
        <w:gridCol w:w="109"/>
        <w:gridCol w:w="109"/>
        <w:gridCol w:w="211"/>
        <w:gridCol w:w="784"/>
        <w:gridCol w:w="109"/>
        <w:gridCol w:w="109"/>
        <w:gridCol w:w="109"/>
        <w:gridCol w:w="109"/>
        <w:gridCol w:w="244"/>
        <w:gridCol w:w="732"/>
        <w:gridCol w:w="156"/>
      </w:tblGrid>
      <w:tr>
        <w:trPr/>
        <w:tc>
          <w:tcPr>
            <w:tcW w:w="174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br/>
              <w:t>Ended June 30,</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available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for basic (loss) income per share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effect of dilutive common share equivalents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for diluted net (loss) income per share</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per share:</w:t>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Anti-dilutive common share equivalents excluded from the computation of diluted net (loss) income per share were as follows:</w:t>
      </w:r>
    </w:p>
    <w:tbl>
      <w:tblPr>
        <w:tblW w:w="8236" w:type="dxa"/>
        <w:jc w:val="center"/>
        <w:tblInd w:w="0" w:type="dxa"/>
        <w:tblLayout w:type="fixed"/>
        <w:tblCellMar>
          <w:top w:w="28" w:type="dxa"/>
          <w:left w:w="28" w:type="dxa"/>
          <w:bottom w:w="28" w:type="dxa"/>
          <w:right w:w="28" w:type="dxa"/>
        </w:tblCellMar>
      </w:tblPr>
      <w:tblGrid>
        <w:gridCol w:w="1020"/>
        <w:gridCol w:w="897"/>
        <w:gridCol w:w="903"/>
        <w:gridCol w:w="488"/>
        <w:gridCol w:w="488"/>
        <w:gridCol w:w="156"/>
        <w:gridCol w:w="135"/>
        <w:gridCol w:w="135"/>
        <w:gridCol w:w="135"/>
        <w:gridCol w:w="413"/>
        <w:gridCol w:w="413"/>
        <w:gridCol w:w="156"/>
        <w:gridCol w:w="109"/>
        <w:gridCol w:w="109"/>
        <w:gridCol w:w="109"/>
        <w:gridCol w:w="488"/>
        <w:gridCol w:w="488"/>
        <w:gridCol w:w="156"/>
        <w:gridCol w:w="133"/>
        <w:gridCol w:w="133"/>
        <w:gridCol w:w="133"/>
        <w:gridCol w:w="413"/>
        <w:gridCol w:w="413"/>
        <w:gridCol w:w="213"/>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br/>
              <w:t>Ended June 30,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purchase warrants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891,899 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RSUs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1,597,572 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1,597,572 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13.Related Party Transactions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Consultant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1, 2026, the Company assumed a consulting agreement which provides for an individual, who is an existing shareholder of the Company that owns more than 5.0% of the Company’s outstanding common shares, to act as a head of strategy (the “Head of Strategy”) who is responsible for providing senior strategic and advisory services and support the development of the Company’s business strategy. Fees are $0.4 million annually, payable in equal monthly installments. The Company may terminate the agreement at any time for just cause, as defined in the agreement. If the Company terminates the agreement without just cause, the consultant is entitled to a termination fee of $0.4 million, payable on the effective date of termination.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1, 2026, in connection with the Combination, the Head of Strategy was issued 665,107 Series I Preferred Shares with a fair value of $1.3 million. On June 8, 2026, the Head of Strategy was granted 250,000 RSUs that vest over two years and have a grant date fair value of $0.9 million. For the three and six months ended June 30, 2026, the Company recorded $27,000 of share-based compensation expense related to these awards.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an aggregate of $0.3 million in accounts payable and accrued liabilities due to the Head of Strategy, and recorded $29,000 of expense for the three and six months ended June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1, 2026, the Company terminated the prior consulting agreement and entered into a new consulting agreement with its Head of Strategy. Under the new agreement, the Head of Strategy provides senior strategic and advisory services and supports the development of the Company’s business strategy. The agreement has an initial term of 12 months and automatically renews for additional periods of 12 months unless either party provides written notice of non</w:t>
        <w:noBreakHyphen/>
        <w:t>renewal in accordance with the agreement. The annual consulting fee is $0.4 million, payable in equal monthly installments. The Company may terminate the agreement at any time for just cause, as defined in the agreement. If the Company terminates the agreement without just cause, the consultant is entitled to a termination fee of $0.4 million, payable on the effective date of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14.Leases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1, 2026, the Company assumed operating leases in its acquisition of Cathedra. As of June 30, 2026, the Company had operating leases primarily for land and buildings used for mining and hosting operations. Rent expense is recognized on a straight</w:t>
        <w:noBreakHyphen/>
        <w:t xml:space="preserve">line basis over the respective lease terms within operating expenses. For both the three and six months ended June 30, 2026, rent expense related to operating leases was $22,000.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leasing activities is as follows (in thousands, unless otherwise noted):</w:t>
      </w:r>
    </w:p>
    <w:tbl>
      <w:tblPr>
        <w:tblW w:w="7608" w:type="dxa"/>
        <w:jc w:val="left"/>
        <w:tblInd w:w="0" w:type="dxa"/>
        <w:tblLayout w:type="fixed"/>
        <w:tblCellMar>
          <w:top w:w="28" w:type="dxa"/>
          <w:left w:w="28" w:type="dxa"/>
          <w:bottom w:w="28" w:type="dxa"/>
          <w:right w:w="28" w:type="dxa"/>
        </w:tblCellMar>
      </w:tblPr>
      <w:tblGrid>
        <w:gridCol w:w="1493"/>
        <w:gridCol w:w="1312"/>
        <w:gridCol w:w="1320"/>
        <w:gridCol w:w="109"/>
        <w:gridCol w:w="109"/>
        <w:gridCol w:w="109"/>
        <w:gridCol w:w="174"/>
        <w:gridCol w:w="174"/>
        <w:gridCol w:w="176"/>
        <w:gridCol w:w="135"/>
        <w:gridCol w:w="135"/>
        <w:gridCol w:w="135"/>
        <w:gridCol w:w="155"/>
        <w:gridCol w:w="155"/>
        <w:gridCol w:w="156"/>
        <w:gridCol w:w="109"/>
        <w:gridCol w:w="109"/>
        <w:gridCol w:w="109"/>
        <w:gridCol w:w="174"/>
        <w:gridCol w:w="174"/>
        <w:gridCol w:w="176"/>
        <w:gridCol w:w="133"/>
        <w:gridCol w:w="133"/>
        <w:gridCol w:w="133"/>
        <w:gridCol w:w="149"/>
        <w:gridCol w:w="149"/>
        <w:gridCol w:w="213"/>
      </w:tblGrid>
      <w:tr>
        <w:trPr/>
        <w:tc>
          <w:tcPr>
            <w:tcW w:w="149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br/>
              <w:t>Ended June 30,</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future minimum lease payments (in thousands):</w:t>
      </w:r>
    </w:p>
    <w:tbl>
      <w:tblPr>
        <w:tblW w:w="4302" w:type="dxa"/>
        <w:jc w:val="center"/>
        <w:tblInd w:w="0" w:type="dxa"/>
        <w:tblLayout w:type="fixed"/>
        <w:tblCellMar>
          <w:top w:w="28" w:type="dxa"/>
          <w:left w:w="28" w:type="dxa"/>
          <w:bottom w:w="28" w:type="dxa"/>
          <w:right w:w="28" w:type="dxa"/>
        </w:tblCellMar>
      </w:tblPr>
      <w:tblGrid>
        <w:gridCol w:w="925"/>
        <w:gridCol w:w="813"/>
        <w:gridCol w:w="827"/>
        <w:gridCol w:w="109"/>
        <w:gridCol w:w="109"/>
        <w:gridCol w:w="109"/>
        <w:gridCol w:w="303"/>
        <w:gridCol w:w="886"/>
        <w:gridCol w:w="221"/>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15.Commitments and Contingencies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Hosting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2025, the Company entered into a Hosting Agreement with North Campbell HostCo LLC (the “Campbell Hosting Agreement”), for provision of rack space, network services, electrical connections, routine facility maintenance, and technical support of certain of the Company’s mining equipment. The Campbell Hosting Agreement has an initial term of 12 months and can be terminated based on certain defaults defined in the agreement. In connection with the Campbell Hosting Agreement, the Company paid a deposit of $0.4 million. For the three and six months ended June 30, 2026, the Company incurred costs under the Campbell Hosting Agreement of $0.7 million and $1.6 million, respectively. On June 1, 2026, following the Company’s acquisition of Cathedra, the Campbell Hosting Agreement was eliminated in consolidation.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19, 2024, the Company entered into a Master Hosting Agreement with Simple Mining LLC (“Simple Mining”) for provision of rack space, network services, electrical connections, routine facility maintenance, and technical support of certain of the Company’s mining equipment (as amended, the “Simple Mining Hosting Agreement”). Effective November 22, 2025, the Simple Mining Hosting Agreement was mutually terminated. For the three and six months ended June 30, 2025, the Company incurred costs under the Simple Mining Hosting Agreement of $1.1 million and $2.6 million,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18, 2023, the Company entered into a Hosting Agreement with Joshi Petroleum, LLC (the “Joshi Hosting Agreement”) for provision of rack space, network services, electrical connections, routine facility maintenance, and technical support of certain of the Company’s mining equipment. Effective January 2, 2026, the Joshi Hosting Agreement was assigned to Evolution Technology LLC. The Joshi Hosting Agreement has an initial term of three years with subsequent one year renewal periods until either party provides written notice to the other party of its desire to avoid any given renewal term at least 30 days in advance of the conclusion of the prior initial term or renewal period. The Company does not intend to renew the agreement. In connection with the Joshi Hosting Agreement, the Company paid a deposit of $0.3 million representing the last two months of estimated service fees. For the three months ended June 30, 2026 and 2025, the Company incurred costs under the Joshi Hosting Agreement of nil and $0.4 million, respectively. For the six months ended June 30, 2026 and 2025, the Company incurred costs under the Joshi Hosting Agreement of $0.1 million and $0.8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4, 2023, the Company entered into a Master Hosting Services Agreement with Rebel Mining Company, LLC (the “Rebel Hosting Agreement”) for provision of rack space, network services, electrical connections, routine facility maintenance, and technical support of certain of the Company’s mining equipment. On January 16, 2025, the Company terminated the Rebel Hosting Agreement and agreed to a settlement amount of $2.4 million payable to the Company in satisfaction of all obligations of the Rebel Hosting Agreement and it constitutes a final settlement of all amounts owed by either party of the Rebel Hosting Agreement. During 2025, the Company recorded a $0.3 million impairment for the remaining outstanding portion of the settlement that is in default. For the three and six months ended June 30, 2025, the Company incurred costs under the Rebel Hosting agreement of nil and $0.1 million, respectively.</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Power Supply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long</w:t>
        <w:noBreakHyphen/>
        <w:t>term prepaid electric power supply agreements with regional utilities to support its data</w:t>
        <w:noBreakHyphen/>
        <w:t>center operations. Under these agreements, the Company prepays monthly power charges and maintains cash security deposits. As of June 30, 2026, the Company’s aggregate monthly power prepayment is $0.9 million, and the Company has security deposits in the aggregate of $1.9 million with utilities.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agreements generally include initial terms of 60 months with automatic annual renewals. Each contract provides between 10 MW and 15 MW of electrical capacity for the Company’s hosting and mining operations and contains standard payment, renewal, default, and disconnection provisions. These commitments represent material future cash obligations related to the Company’s ongoing operations. No contingencies exist under these agreements as of June 30, 2026.</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Management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2025, the Company entered into a management services agreement with Simple Mining to manage its self-owned 8 megawatt facility in Iowa (“Iowa Site”) for a term of 12 months, with automatic renewals for subsequent terms of 12 months unless terminated by either party with written notice 30 days prior to the expiration of the then current term. For the three months ended June 30, 2026 and 2025, management services fees paid to Simple Mining were approximately $51,000 and $71,000, respectively. For both the six months ended June 30, 2026 and 2025, management services fees paid to Simple Mining were approximately $0.1 million.</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Financial Advisory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2025, the Company entered into a financial advisory and consulting agreement for a term of 12 months, with automatic one month renewal periods. The agreement can be canceled by either party at any time with 10 days written notification to the other party. Fees are $25,000 per month for ongoing work, and a $1.45 million fee for certain transactions, payable in cash and equity. For the three and six months ended June 30, 2026, fees incurred under the financial and advisory agreement were approximately $1.3 million and $1.4 million, respectively.</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Compensation Obligations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employment agreements for the Company’s Chief Executive Officer (“CEO”) and Chief Financial Officer (“CFO”) provide for retention bonuses of $1.6 million and $1.1 million, respectively, contingent upon the achievement of specified operational milestones. If the operational milestone is achieved at any time within two years, or by June 1, 2028, the bonus becomes payable in 12 equal monthly installments, in either cash or common shares, at the discretion of the Company. In addition, under the CFO’s employment agreement, if certain conditions constituting “good reason” occur prior to January 1, 2027, the CFO’s $1.1 million amount would become payable over an 18</w:t>
        <w:noBreakHyphen/>
        <w:t>month period beginning after the operational milestone is achieved. No liability has been recorded as of June 30, 2026, but the Company will continue to evaluate the likelihood of achieving the milestone and assess any accrual required.</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ordinary course of business, the Company provides standby letters of credit to third parties as required for certain transactions initiated by the Company. As of June 30, 2026, the Company had no outstanding standby letters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Litigation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is, from time to time, subject to claims and suits arising in the ordinary course of business. The Company</w:t>
      </w:r>
      <w:r>
        <w:rPr>
          <w:color w:val="000000"/>
          <w:shd w:fill="FFFFFF" w:val="clear"/>
        </w:rPr>
        <w:t xml:space="preserve"> </w:t>
      </w:r>
      <w:r>
        <w:rPr>
          <w:rFonts w:ascii="Times New Roman;serif" w:hAnsi="Times New Roman;serif"/>
          <w:b w:val="false"/>
          <w:color w:val="000000"/>
          <w:sz w:val="20"/>
          <w:shd w:fill="FFFFFF" w:val="clear"/>
        </w:rPr>
        <w:t>cannot predict the final outcome of such proceedings. Where appropriate, the Company vigorously defends such claims, lawsuits and proceedings. Paid expenses related to the defense of such claims are recorded by the Company as incurred and paid. On the basis of current information, the Company does not believe there is a reasonable possibility that a material loss, if any, will result from any claims, lawsuits and proceedings to which the Company is subject to either individually, or in the aggregate.</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16.Subsequent Events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Subsequent to June 30, 2026, the Company granted 121,491 RSAs and 32,158 unregistered common shares for payment of outside services with an aggregate fair value of approximately $0.3 million based on the closing price of the Company’s common shares on the date of issuance.</w:t>
      </w:r>
    </w:p>
    <w:p>
      <w:pPr>
        <w:pStyle w:val="TextBody"/>
        <w:bidi w:val="0"/>
        <w:spacing w:lineRule="auto" w:line="288" w:before="10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At-the-Market Offering Program</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June 30, 2026, under the ATM Agreement the Company issued 911,274 common shares for $1.7 million of net proceeds.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Amended and Restated ATM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31, 2026, the Company entered into an Amended and Restated Sales Agreement (the “Amended ATM Agreement”) with A.G.P. and Maxim Group LLC (“Maxim” and, together with A.G.P., the “Sales Agents”) for the purpose of amending the ATM Agreement to provide for the addition of Maxim as a sales agent thereunder and to effect conforming changes related thereto. The Amended ATM Agreement otherwise retains all material terms of the original ATM Agreement. The Amended ATM Agreement provides for the sale of common shares having an aggregate offering price of up to $10.3 million in transactions that are deemed to be “at the market offering” as defined in Rule 415 of the Securities Act of 1933, as amended.</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Shareholder Rights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7, 2026, the Board of Directors of the Company adopted a shareholder rights plan, pursuant to a shareholder rights plan agreement dated as of August 10, 2026 (the “Rights Agreement”). The Rights Agreement is intended to ensure, to the extent possible, that all shareholders of the Company are treated fairly in connection with a take-over bid or other acquisition of Voting Shares (as defined in the Rights Agreement) that could result in a person becoming the beneficial owner of 20% or more of the outstanding Voting Shares of the Company. Pursuant to the Rights Agreement, one common share purchase right (each, a “Right”) will attach to each Voting Share outstanding as of the close of business on August 20, 2026 (the “Record Time”), and to each Voting Share issued after the Record Time and prior to the earlier of the Separation Time and the Expiration Time (each as defined in the Rights Agreement). From and after the Separation Time and prior to the Expiration Time, each Right entitles its holder to purchase one common share of the Company at an exercise price equal to three times the market price of a common share determined as of the Separation Time, subject to adjustment in accordance with the Rights Agreement. Upon the occurrence of certain triggering events, each Right, other than Rights beneficially owned by an Acquiring Person (as defined in the Rights Agreement) or certain related persons, will entitle its holder to purchase common shares having an aggregate market value equal to two times the exercise price of the Right. Alternatively, in certain circumstances, the Company may exchange each outstanding Right, other than Rights that have become void under the Rights Agreement, for one common share, subject to adjustment. The Rights will expire on August 10, 2027, unless earlier redeemed, exchanged or otherwise terminated in accordance with the Rights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quarterly management’s discussion and analysis (“MD&amp;A”) should be read in conjunction with our unaudited condensed consolidated financial statements and the accompanying notes of Sphere 3D Corp. (the “Company”) for the three and six months ended June 30, 2026. The condensed consolidated financial statements have been presented in U.S. dollars and have been prepared in accordance with accounting principles generally accepted in the United States of America (“U.S. GAAP”). Unless the context otherwise requires, any reference to the “Company,” “Sphere 3D,” “we,” “our,” “us” or similar terms refers to Sphere 3D Corp. and its subsidiaries. Unless otherwise indicated, all references to “$” and “dollars” in this discussion and analysis mean U.S. dollars.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includes forward-looking statements that are subject to risks and uncertainties. This forward-looking information includes, but is not limited to, statements with respect to management’s expectations regarding the future growth, results of operations, performance and business prospects of Sphere 3D. This forward-looking information relates to, among other things, future business plans and business planning process, uses of cash, and may also include other statements that are predictive in nature, or that depend upon or refer to future events or conditions. The words “could”, “expects”, “may”, “will”, “anticipates”, “assumes”, “intends”, “plans”, “believes”, “estimates”, “guidance”, and similar expressions are intended to identify statements containing forward-looking information, although not all forward-looking statements include such words. In addition, any statements that refer to expectations, projections or other characterizations of future events or circumstances contain forward-looking information. Statements containing forward-looking information are not historical facts but instead represent management’s expectations, estimates and projections regarding future events.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factors could cause actual results, performance or achievements or future events or developments to differ materially from those expressed or implied by the forward-looking statements, including, but not limited to: the inability to maintain compliance with the requirements of the Nasdaq Capital Market (“Nasdaq”) and/or inability to maintain listing with Nasdaq; the impact of competition; the investment in technological innovation; the retention or maintenance of key personnel; the possibility of significant fluctuations in operating results; the ability of Sphere 3D to maintain business relationships; financial, political or economic conditions; financing risks; future acquisitions; volatility in the market price for the common shares of the Company; compliance by Sphere 3D with financial reporting and other requirements as a public company; conflicts of interests; future sales of common shares by Sphere 3D’s directors, officers and other shareholders; dilution and future sales of common shares. For more information on these risks, you should refer to the Company’s filings with the securities regulatory authorities, including the Company’s most recently filed Annual Report on Form 10-K, which is available on EDGAR at www.sec.gov and SEDAR+ at www.sedarplus.ca. In evaluating such statements, we urge you to specifically consider various factors identified in this report, any of which could cause actual results to differ materially from those indicated by such forward-looking statements. Forward-looking statements speak only as of the date of this report and we undertake no obligation to publicly update any forward-looking statements to reflect new information, events or circumstances after the date of this report. Actual events or results may differ materially from such statements.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digital infrastructure company that owns, operates and is expanding scalable power and data center assets for high-performance computing, artificial intelligence (“AI”) workloads, and digital asset infrastructure. We commenced operations of our Bitcoin mining business in January 2022. Following our business combination with Cathedra Bitcoin Inc. completed on June 1, 2026, we own and operate the power and data center infrastructure underlying a substantial portion of our fleet, rather than relying on third-party hosting providers. We generate revenue from both proprietary Bitcoin mining operations and effective June 1, 2026, from hosting services provided to third parties under hosting agreements and are evaluating, on a site-by-site basis, the suitability of our sites for high-performance computing (“HPC”) and AI infrastructure workloads.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approximately 53 megawatts (“MW”) of operating power capacity across five data centers located in Iowa, Kentucky and Tennessee. Vertically integrating with self-owned and self-operated facilities allows us to reduce our reliance on third-parties and decrease our overall cost to mine a Bitcoin. We also have a development pipeline exceeding 100 MW of potential expansion opportunities. In addition to our proprietary mining operations, we provide hosting services to third parties, including a 30 MW co-mining arrangement with Bitdeer across three sites in Tennessee and Kentucky, which we expect to provide more predictable revenue to complement the variability of our proprietary mining results. We are actively assessing the highest-value applications for our power capacity, including digital asset mining, hosting, and HPC and AI infrastructure workloads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longer-term objective is expanding access to power and data center capacity to support our transition to AI and HPC infrastructure. We believe our existing, energized power positions primarily across the Tennessee Valley Authority region offer a faster and more capital disciplined path to deployment than sites still awaiting interconnection or lengthy construction schedules, and we are pursuing a modular development approach intended to convert smaller sites more quickly than large campus projects. We intend to differentiate our platform through execution, site readiness and proactive community engagement, while continuing to grow the scale of our power and data center portfolio.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obtain Bitcoin as a result of our mining operations, and when necessary, we sell Bitcoin to support our operations and strategic growth. We mine Bitcoin in states that do not have any material state-specific regulatory restrictions on the mining of Bitcoin. However, it is possible that these states or other states in which we may seek to operate may create laws that would impede Bitcoin mining. We do not currently plan to engage in regular trading of Bitcoin other than sales to convert our Bitcoin into U.S. dollars. Decisions to hold or sell our Bitcoin are made by management based on real-time market monitoring and forward looking forecasts. Our treasury strategy is to utilize Bitcoin interchangeably with U.S. dollars, and we will sell Bitcoin as needed to fund working capital requirements or potential growth commitments.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refreshed a significant portion of our fleet with newer-generation machines to improve efficiency and reduce our cost to mine. In February 2026, we completed the sale of older generation mining equipment not in service for proceeds of $1.2 million, which was applied to the purchase of new mining equipment. As of June 30, 2026, we held approximately 20.5 Bitcoin. The fair value of our Bitcoin as of June 30, 2026 was approximately $1.2 million on our condensed consolidated balance sheet.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25, 2026, our Board of Directors unanimously approved, and recommended that our shareholders approve, a proposed change of our name to DarkHorse Technologies Inc., and we have reserved the ticker symbol “DRK” with Nasdaq for use upon shareholder approval and effectiveness of the name change. The proposed name change will be submitted to shareholders for a vote at a special meeting scheduled for August 24, 2026, and remains subject to shareholder approval.</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previously announced, on March 5, 2026, we entered into a definitive agreement with Cathedra Bitcoin Inc. (“Cathedra”), a company that builds, develops and operates power infrastructure facilities for use in high-density computing, to combine in an all-stock transaction. On June 1, 2026, the business combination was effected by way of a plan of arrangement under the Business Corporations Act (British Columbia), pursuant to which S3D Acquisition Corp., our wholly-owned subsidiary, acquired all of the issued and outstanding shares of Cathedra in a share-for-share transaction, and Cathedra became a wholly-owned subsidiary of the Company (the “Combination”). For purchase consideration, we issued 2,405,300 common shares and 1,387,117 preferred shares of the Company with an aggregate fair value of $7.3 million. Immediately following the closing, former Cathedra security holders held approximately 33% of the voting rights in the combined company, compared with approximately 67% held by Sphere’s pre-existing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Co-Mining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28, 2026, an agreement was entered into with Bitdeer Technologies (“Bitdeer”) to host 30 megawatts of capacity at three of our data center sites in Tennessee and Kentucky. These agreements offer contracted mining economics while we assess broader digital infrastructure opportunities, including AI applications. Bitdeer will deploy its SEALMINER A2 Pro Air mining hardware at these sites, with net mining proceeds shared between us and Bitdeer. Each agreement has an initial term of 12 months, renewable for an additional 12 months unless either party elects otherwise, allowing flexibility as we explore optimal uses of our power-backed infrastructure. Subsequent to June 30, 2026, we installed the first of three sites with the remaining two expected to be fully installed before November 2026.</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Share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9, 2026, we filed an Articles of Amendment to effect a share consolidation (also known as a reverse stock split) of our issued and outstanding common shares in the ratio of 1-for-10. The share consolidation was effective on February 9, 2026. Our common shares began trading on an adjusted basis on Nasdaq at the opening of trading on February 10, 2026. All share and per share amounts have been restated for all periods presented to reflect the share consolidation.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Second Quarter of 2026 Compared with the Second Quarter of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generated revenues of $2.5 million and $3.0 million, respectively, during the second quarter of 2026 and 2025. The decrease in revenue of $0.5 million is primarily due to a decline in the fair value of Bitcoin; offset by revenue of $0.4 million beginning June 1, 2026 from our acquisition. We expect to expand our revenue mix and utilization going into the second half of 2026. During the second quarter of 2026 and 2025, we mined 29.0 and 30.9 Bitcoin, respectively, representing a 6.1% decrease.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Cost of Revenue (exclusive of depreciation and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Direct cost of revenue totaled $2.3 million in both the second quarter of 2026 and 2025. The 2026 amount includes $0.8 million of costs attributable to revenue from the acquisition completed on June 1, 2026.</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$4.8 million and $2.1 million for the second quarter of 2026 and 2025, respectively. The $2.7 million increase was primarily due to a $1.8 million increase in costs related to our acquisition completed during the second quarter, a $0.6 million increase in share-based compensation, a $0.2 million increase in investor relations, and a $0.1 million increase in legal fees.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$1.3 million and $1.7 million for the second quarter of 2026 and 2025, respectively.</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Impairment of Property and Equipment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of property and equipment was $7.0 million and nil for the second quarter of 2026 and 2025, respectively. For the second quarter of 2026, an impairment of $7.0 million was recorded for the estimated market value of mining equipment primarily due to the change in market conditions and decline in Bitcoin prices.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Impairment of Intangible Assets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Impairment of intangible assets was $0.6 million and nil for the second quarter of 2026 and 2025, respectively. For the second quarter of 2026, the Company recorded an impairment charge of $0.6 million to supplier agreements related to the decline in Bitcoin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Bitcoin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 in fair value of Bitcoin was a loss of $0.2 million and a gain of $0.5 million for the second quarter of 2026 and 2025, respectively. The gain or loss was the change in fair value of Bitcoin held, as well as the gain or loss from when Bitcoin was sold.</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Non-Operating Income and Expenses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Investment Gain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 loss was nil and gain of $4.3 million for the second quarter of 2026 and 2025, respectively, and related to our equity investment in Core Scientific Inc.</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The First Six Months of 2026 Compared with the First Six Months of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generated revenues of $4.4 million and $5.8 million during the first six months of 2026 and 2025, respectively. The decrease in revenue of $1.4 million is primarily due to a decline in the fair value of Bitcoin, and the process of removing older mining equipment and replacing it with newer generation machines resulting in fewer machines mining and less Bitcoin mined. The decrease is offset by revenue of $0.4 million beginning June 1, 2026 from our acquisition. We expect to expand our revenue mix and utilization going into the second half of 2026. During the six months ended June 30, 2026 and 2025, we mined 54.3 and 61.3 Bitcoin, respectively, representing a 11.4% decrease.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Cost of Revenue (exclusive of depreciation and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Direct cost of revenue totaled $3.9 million and $4.5 million, respectively, in the first six months of 2026 and 2025. The $0.6 million decrease was primarily driven by lower hosting fees related to older machines taken offline, sold, and replaced with newer generation machines, as well as lower cost of revenue at our Iowa site. The first six months of 2026 included $0.8 million of costs attributable to revenue from the acquisition completed on June 1, 2026.</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$7.3 million and $5.3 million for the first six months of 2026 and 2025, respectively. The increase of $2.0 million was primarily due to an increase of $2.1 million in costs related to our acquisition completed during the second quarter, $0.8 million increase in share-based compensation, and $0.2 million increase in investor relations. These increases were offset by a decrease in legal fees of $0.9 million related to the resolution of the Gryphon Digital Mining, Inc. litigation, and a decrease of $0.2 million in insurance expense.</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was $2.5 million and $3.3 million for the first six months of 2026 and 2025, respectively. The decrease of $0.8 million was primarily due to less depreciation related to our Bitcoin mining machines due to the disposal of machines.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Impairment of Property and Equipment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of property and equipment was $7.0 million and nil for the first six months of 2026 and 2025, respectively. For the first six months of 2026, an impairment of $7.0 million was recorded for the estimated market value of mining equipment primarily due to the change in market conditions and decline in Bitcoin prices.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Impairment of Intangible Assets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Impairment of intangible assets was $0.6 million and nil for the first six months of 2026 and 2025, respectively. For the first six months of 2026, the Company recorded an impairment charge of $0.6 million to supplier agreements related to the decline in Bitcoin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0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Loss on Disposal of Property and Equipment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 was $0.2 million and $0.9 million for the first six months of 2026 and 2025, respectively, and primarily related to the sale of mining equipment.</w:t>
      </w:r>
    </w:p>
    <w:p>
      <w:pPr>
        <w:pStyle w:val="TextBody"/>
        <w:bidi w:val="0"/>
        <w:spacing w:lineRule="auto" w:line="288" w:before="10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Bitcoin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 in fair value of Bitcoin was a loss of $0.8 million and a gain of $0.3 million for the first six months of 2026 and 2025, respectively. The loss in the first six months of 2026 and the gain in the first six months of 2025 was from the change in fair value of Bitcoin held, as well as the gains and losses from when Bitcoin was sold.</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Non-Operating Income and Expenses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Investment Gain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 gain was nil and $0.7 million for the first six months of 2026 and 2025, respectively, and related to gains on our equity investment in Core Scientific Inc.</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existing cash and cash equivalents. We expect to fund our operations going forward with existing cash resources, revenue from our operations, and cash that we may raise through future financing transactions. At June 30, 2026, we had cash and cash equivalents of $2.8 million compared to cash and cash equivalents of $3.7 million at December 31, 2025. As of June 30, 2026, we had working capital of $0.2 million, reflecting a decrease of $6.7 million since December 31, 2025.</w:t>
      </w:r>
    </w:p>
    <w:p>
      <w:pPr>
        <w:pStyle w:val="TextBody"/>
        <w:bidi w:val="0"/>
        <w:spacing w:lineRule="auto" w:line="288" w:before="100" w:after="283"/>
        <w:ind w:left="0" w:right="0" w:firstLine="540"/>
        <w:jc w:val="both"/>
        <w:rPr/>
      </w:pPr>
      <w:r>
        <w:rPr>
          <w:rFonts w:ascii="Times New Roman;serif" w:hAnsi="Times New Roman;serif"/>
          <w:b w:val="false"/>
          <w:i/>
          <w:color w:val="000000"/>
          <w:sz w:val="20"/>
        </w:rPr>
        <w:t xml:space="preserve">At-the-Market Offering Program. </w:t>
      </w:r>
      <w:r>
        <w:rPr>
          <w:rFonts w:ascii="Times New Roman;serif" w:hAnsi="Times New Roman;serif"/>
          <w:b w:val="false"/>
          <w:color w:val="000000"/>
          <w:sz w:val="20"/>
        </w:rPr>
        <w:t>On January 3, 2025, we entered into a sales agreement (the “ATM Agreement”) with A.G.P./Alliance Global Partners (“AGP”), as sales agent. In accordance with the terms of the ATM Agreement, we were able to offer and sell from time to time through or to AGP, as agent or principal, the Company's common shares having an aggregate offering price of up to $8.0 million. For the three and six months ended June 30, 2026, under the ATM Agreement the Company issued 892,582 and 1,148,724 common shares, respectively, for $2.1 million and $2.5 million of net proceeds, respectively. Subsequent to June 30 2026, under the ATM Agreement we issued 911,274 common shares for $1.7 million of net proceeds.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31, 2026, we entered into an Amended and Restated Sales Agreement (the “Amended ATM Agreement”) with A.G.P. and Maxim Group LLC (“Maxim” and, together with A.G.P., the “Sales Agents”) for the purpose of amending the ATM Agreement to provide for the addition of Maxim as a sales agent thereunder and to effect conforming changes related thereto. The Amended ATM Agreement otherwise retains all material terms of the original ATM Agreement. The Amended ATM Agreement provides for the sale of common shares having an aggregate offering price of up to $10.3 million (the “Placement Shares”) in transactions that are deemed to be “at the market offerings” as defined in Rule 415 under the Securities Act of 1933, as amended.</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ATM Agreement can be terminated by either party by giving two days written notice. We expect that any proceeds received from the facility will be used primarily for working capital and general corporate purposes and in furtherance of our corporate strategy which may include to accelerate efficiency, for the purchase/upgrade of our mining fleet, and vertical integration of infrastructure. </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Neither we nor the Sales Agents are obligated to sell any Placement Shares pursuant to the Amended ATM Agreement. Subject to the terms and conditions of the Amended ATM Agreement, the Sales Agents will use commercially reasonable efforts, consistent with its normal trading and sales practices and applicable state and federal law, rules and regulations and the rules of Nasdaq, to sell the Placement Shares from time to time based upon our instructions, including any price, time or size limits or other customary parameters or conditions we may impose. Sales of the Placement Shares, if any, will be made on Nasdaq at market prices by any method permitted by law deemed to be an “at the market offering” as defined in Rule 415 of the Securities Act of 1933, as amended.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has projected that based on our recurring losses, negative cash flows from operating activities, and our hashing rate at June 30, 2026, cash on hand may not be sufficient to allow us to continue operations and there is substantial doubt about our ability to continue as a going concern within 12 months from the date of issuance of our financial statements if we are unable to raise additional funding for operations. We expect our working capital needs to increase in the future as we continue to expand and enhance our operations. Our ability to raise additional funds for working capital through equity or debt financings or other sources may depend on the financial success of our business and successful implementation of our key strategic initiatives, financial, economic and market conditions and other factors, some of which are beyond our control. We require additional capital and if we are unsuccessful in raising that capital at a reasonable cost and at the required times, or at all, we may not be able to continue our business operations in the cryptocurrency mining industry or we may be unable to advance our growth initiatives, either of which could adversely impact our business, financial condition and results of operations. To mitigate these risks we are taking steps to reduce our cost of mining, have refreshed our mining fleet to improve our mining efficiency, and expect that recently contracted hosting agreements should further support these efforts.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changes from our current forecasts, including but not limited to: (i) shortfalls from projected earnings; (ii) increases in operating costs; (iii) decreases in the value of cryptocurrency; and (iv) if we do not maintain compliance with the requirements of Nasdaq and/or we do not maintain our listing with Nasdaq, it could have a material adverse impact on our ability to access the level of funding necessary to continue operations at current levels. These factors, among others, should they occur may result in our inability to continue as a going concern within 12 months from the date of issuance of our financial statements. The accompanying condensed consolidated financial statements have been prepared on a going concern basis, which contemplates the realization of assets and the satisfaction of liabilities in the normal course of business and do not include any adjustments that might result from the outcome of this uncertainty.</w:t>
      </w:r>
    </w:p>
    <w:p>
      <w:pPr>
        <w:pStyle w:val="TextBody"/>
        <w:bidi w:val="0"/>
        <w:spacing w:lineRule="auto" w:line="288" w:before="100" w:after="283"/>
        <w:ind w:left="0" w:right="0" w:firstLine="540"/>
        <w:jc w:val="both"/>
        <w:rPr/>
      </w:pPr>
      <w:r>
        <w:rPr>
          <w:rFonts w:ascii="Times New Roman;serif" w:hAnsi="Times New Roman;serif"/>
          <w:b w:val="false"/>
          <w:i/>
          <w:color w:val="000000"/>
          <w:sz w:val="20"/>
        </w:rPr>
        <w:t xml:space="preserve">Contingent Compensation Obligations. </w:t>
      </w:r>
      <w:r>
        <w:rPr>
          <w:rFonts w:ascii="Times New Roman;serif" w:hAnsi="Times New Roman;serif"/>
          <w:b w:val="false"/>
          <w:color w:val="000000"/>
          <w:sz w:val="20"/>
        </w:rPr>
        <w:t>The employment agreements for our Chief Executive Officer (“CEO”) and Chief Financial Officer (“CFO”) provide for retention bonuses of $1.6 million and $1.1 million, respectively, contingent upon the achievement of specified operational milestones. If the operational milestone is achieved at any time within two years, or by June 1, 2028, the bonus becomes payable in 12 equal monthly installments, in either cash or common shares, at our discretion. In addition, under the CFO’s employment agreement, if certain conditions constituting “good reason” occur prior to January 1, 2027, the CFO’s $1.1 million amount would become payable over an 18</w:t>
        <w:noBreakHyphen/>
        <w:t>month period beginning after the operational milestone is achieved.</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31, 2026, the CFO delivered formal notice that the conditions of good reason under his employment agreement had been met in connection with his transition from CEO to CFO following the consummation of the Combination. The notice states that it was provided solely to preserve the CFO’s future rights to receive the $1.1 million payment and that he does not currently intend to resign. To trigger the conditional severance payment, the CFO would be required to formally resign by November 28, 2026, and the operational milestone would also need to be achieved, as specified in his employment agreement.</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liability has been recorded as of June 30, 2026. However, the potential future payment could represent a material cash commitment depending on the timing of milestone achievement and the form of settlement elected. We will continue to evaluate the likelihood of achieving the milestone and assess any resulting impact on liquidity, capital resources, and future cash flows.</w:t>
      </w:r>
    </w:p>
    <w:p>
      <w:pPr>
        <w:pStyle w:val="TextBody"/>
        <w:bidi w:val="0"/>
        <w:spacing w:lineRule="auto" w:line="288" w:before="100" w:after="283"/>
        <w:ind w:left="0" w:right="0" w:firstLine="540"/>
        <w:jc w:val="both"/>
        <w:rPr/>
      </w:pPr>
      <w:r>
        <w:rPr>
          <w:rFonts w:ascii="Times New Roman;serif" w:hAnsi="Times New Roman;serif"/>
          <w:b w:val="false"/>
          <w:i/>
          <w:color w:val="000000"/>
          <w:sz w:val="20"/>
        </w:rPr>
        <w:t xml:space="preserve">Power Supply Agreements. </w:t>
      </w:r>
      <w:r>
        <w:rPr>
          <w:rFonts w:ascii="Times New Roman;serif" w:hAnsi="Times New Roman;serif"/>
          <w:b w:val="false"/>
          <w:color w:val="000000"/>
          <w:sz w:val="20"/>
        </w:rPr>
        <w:t>We maintain long</w:t>
        <w:noBreakHyphen/>
        <w:t>term prepaid electric power supply agreements with regional utilities to support its data</w:t>
        <w:noBreakHyphen/>
        <w:t>center operations. Under these agreements, we prepay monthly power charges and maintain cash security deposits. As of June 30, 2026, our aggregate monthly power prepayment is $0.9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(used in) provided by operating activities, investing activities, and financing activities (in thousands):</w:t>
      </w:r>
    </w:p>
    <w:tbl>
      <w:tblPr>
        <w:tblW w:w="6186" w:type="dxa"/>
        <w:jc w:val="center"/>
        <w:tblInd w:w="0" w:type="dxa"/>
        <w:tblLayout w:type="fixed"/>
        <w:tblCellMar>
          <w:top w:w="28" w:type="dxa"/>
          <w:left w:w="28" w:type="dxa"/>
          <w:bottom w:w="28" w:type="dxa"/>
          <w:right w:w="28" w:type="dxa"/>
        </w:tblCellMar>
      </w:tblPr>
      <w:tblGrid>
        <w:gridCol w:w="1254"/>
        <w:gridCol w:w="1104"/>
        <w:gridCol w:w="1107"/>
        <w:gridCol w:w="109"/>
        <w:gridCol w:w="109"/>
        <w:gridCol w:w="109"/>
        <w:gridCol w:w="211"/>
        <w:gridCol w:w="691"/>
        <w:gridCol w:w="109"/>
        <w:gridCol w:w="109"/>
        <w:gridCol w:w="109"/>
        <w:gridCol w:w="109"/>
        <w:gridCol w:w="211"/>
        <w:gridCol w:w="69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w:t>
              <w:br/>
              <w:t>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Net cash used in operating activities</w:t>
      </w:r>
      <w:r>
        <w:rPr>
          <w:rFonts w:ascii="Times New Roman;serif" w:hAnsi="Times New Roman;serif"/>
          <w:b w:val="false"/>
          <w:color w:val="000000"/>
          <w:sz w:val="20"/>
        </w:rPr>
        <w:t xml:space="preserve">. The use of cash during the first six months of 2026 was primarily a result of our net loss of $17.9 million, offset by $12.6 million in noncash items, which primarily included impairment of property and equipment, depreciation and amortization, share-based compensation expense, change in fair value of Bitcoin, impairment of intangible assets, loss on disposal of property and equipment, and nonemployee share-based compensation performance award expense.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Net cash provided by investing activities.</w:t>
      </w:r>
      <w:r>
        <w:rPr>
          <w:color w:val="000000"/>
        </w:rPr>
        <w:t xml:space="preserve"> </w:t>
      </w:r>
      <w:r>
        <w:rPr>
          <w:rFonts w:ascii="Times New Roman;serif" w:hAnsi="Times New Roman;serif"/>
          <w:b w:val="false"/>
          <w:color w:val="000000"/>
          <w:sz w:val="20"/>
        </w:rPr>
        <w:t xml:space="preserve">During the first six months of 2026, we received $5.3 million from proceeds from the sale of Bitcoin and acquired $0.5 million of cash in our acquisition of Cathedra. During the first six months of 2025, we received $5.3 million of proceeds from the sale of Bitcoin, $4.8 million from proceeds from the sale of investment in equity securities, and $0.2 million of proceeds from the sale of older mining machines; offset by $1.2 million of payments for the purchase of property and equipment consisting of newer generation mining machines.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Net cash provided by financing activities. </w:t>
      </w:r>
      <w:r>
        <w:rPr>
          <w:rFonts w:ascii="Times New Roman;serif" w:hAnsi="Times New Roman;serif"/>
          <w:b w:val="false"/>
          <w:color w:val="000000"/>
          <w:sz w:val="20"/>
        </w:rPr>
        <w:t>For the first six months of 2026 and 2025, we received $2.5 million and $0.1 million, respectively, of net proceeds from the issuance of common shares through our ATM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we received approximately $0.3 million of customer payments in Tether (USDT), which were immediately converted into U.S. dollars. Because the conversion occurred upon receipt and resulted in no gain or loss, the transaction is reflected as a cash inflow from operating activities in our condensed consolidated statements of cash flows. We continue to hold Bitcoin as part of our digital asset strategy; however, we do not hold Tether or other stablecoins, and the receipt and conversion of USDT did not impact our digital asset balances.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Off-Balance Sheet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ordinary course of business, we may provide standby letters of credit to third parties as required for certain transactions initiated by us. As of June 30, 2026, we have no standby letters of credit outstanding.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requires us to make estimates and judgments that affect the reported amounts of assets, liabilities, revenues and expenses and related disclosure of contingent assets and liabilities. We review our estimates on an ongoing basis.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M</w:t>
      </w:r>
      <w:r>
        <w:rPr>
          <w:rFonts w:ascii="Times New Roman;serif" w:hAnsi="Times New Roman;serif"/>
          <w:b w:val="false"/>
          <w:color w:val="000000"/>
          <w:sz w:val="20"/>
          <w:shd w:fill="FFFFFF" w:val="clear"/>
        </w:rPr>
        <w:t>anagement has determined that there are no critical accounting estimates that require disclosure.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 xml:space="preserve">Note 2 - Summary of Significant Accounting Policies </w:t>
      </w:r>
      <w:r>
        <w:rPr>
          <w:rFonts w:ascii="Times New Roman;serif" w:hAnsi="Times New Roman;serif"/>
          <w:b w:val="false"/>
          <w:color w:val="000000"/>
          <w:sz w:val="20"/>
        </w:rPr>
        <w:t>to our condensed consolidated financial statements for a discussion of recent accounting pronouncements and their effect, if any,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 xml:space="preserve">Disclosure Controls and Procedures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our principal executive officer and principal financial officer, we conducted an evaluation of our disclosure controls and procedures, as such term is defined under Rules 13a-15(e) or 15d-15(e) under the Securities Exchange Act of 1934, as amended. Based on this evaluation, our principal executive officer and our principal financial officer concluded that our disclosure controls and procedures were effective to give reasonable assurance that information required to be publicly disclosed is recorded, processed, summarized, and reported on a timely basis as of the end of the period covered by this report. </w:t>
      </w:r>
    </w:p>
    <w:p>
      <w:pPr>
        <w:pStyle w:val="TextBody"/>
        <w:bidi w:val="0"/>
        <w:spacing w:lineRule="auto" w:line="288"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during the three months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For a discussion of our legal proceedings, see Note 15.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than the additional risk factors herein, we are not aware of any material changes to the risk factors set forth under the caption “Risk Factors” in Part I, Item 1A of our Annual Report, which are incorporated herein by reference. These risks and uncertainties are not the only ones we face. Additional risks and uncertainties not presently known to us or that we currently consider immaterial may also impair our business operations. If any of the risks occur, our business and financial results could be harmed and the trading price of our common shares could decline.</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Our expansion into AI and HPC data-center infrastructure is subject to substantial development, financing, operational, technological and market risks, and we may not successfully implement or realize the anticipated benefits of this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strategy includes diversifying our operations beyond Bitcoin mining by pursuing opportunities involving AI, HPC and other high-density computing applications. Developing, converting and operating facilities for these applications is capital intensive and requires substantial operational and financial resources, specialized technical expertise, qualified personnel, reliable and significant power capacity, advanced cooling and networking systems, specialized computing equipment and relationships with customers, utilities, equipment suppliers, contractors and other third parties. We have limited experience developing or operating AI or HPC data-center infrastructure at scale, and there can be no assurance that we will be able to develop the necessary capabilities, obtain the necessary resources or successfully execute this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development, expansion or conversion of our existing or planned facilities for AI or HPC applications may be delayed, disrupted or cost more than anticipated. Such projects may be adversely affected by, among other things, delays in obtaining financing, permits, regulatory approvals, power commitments or utility interconnections; delays in the delivery or installation of equipment; difficulties integrating new equipment into existing infrastructure; shortages of skilled labor, materials, electrical equipment, servers, graphics processing units, cooling systems or other components; defects in design, engineering or construction; failures by contractors, vendors or other counterparties to perform their obligations; changes in applicable laws or regulations; and diversion of management’s attention and other resources. Actual project costs may exceed our budgets, and we may not have sufficient capital to complete a project as planned or at all. Delays, cost overruns or other development difficulties could prevent or delay our ability to generate revenue from a facility and could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be required to commit substantial capital and operational resources to develop or convert facilities before securing customer contracts or other binding commitments. We may be unable to attract customers, enter into contracts on commercially acceptable terms or generate sufficient customer demand to support the facilities and capacity that we develop. Even if we enter into customer contracts, such contracts may not generate the revenue or returns we anticipate, may require us to make significant additional investments or may expose us to customer concentration and counterparty credit risks. Customers may delay or reduce their deployment requirements, terminate or elect not to renew their agreements, seek to renegotiate pricing or other terms or otherwise fail to perform their contractual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markets for AI and HPC infrastructure are rapidly evolving and highly competitive. We may compete against established data-center operators, cloud-service providers, technology companies and other Bitcoin mining companies seeking to diversify into similar businesses, many of which have substantially greater financial, technical, operational and personnel resources, longer operating histories and stronger customer relationships than we do. Competition for suitable sites, power capacity, equipment, financing, customers and qualified personnel may increase our costs and limit our ability to execute our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Technological developments and customer requirements in these markets may change rapidly. Facilities and equipment that we develop or acquire may become obsolete or may not satisfy future requirements relating to computing density, power availability, cooling, networking, security, redundancy, latency, efficiency or other technical specifications. We may be required to make significant additional capital expenditures to modify or replace our infrastructure and equipment, and we may be unable to do so on a timely or cost-effective basis.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AI and HPC customers may also require highly reliable infrastructure and may require us to satisfy service-level, uptime, security and performance commitments. Power outages, cooling-system failures, network disruptions, equipment failures, cybersecurity incidents, construction defects, natural disasters or other interruptions could prevent us from satisfying these commitments. Such events could result in service credits, contractual claims, loss of revenue, termination or non-renewal of customer agreements, damage to customer equipment, litigation and reputational harm. Contractual limitations on our liability may not be enforceable or may not adequately protect us from these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unable to successfully develop, finance, market and operate AI or HPC infrastructure, we may not realize the anticipated benefits of our diversification strategy. We could incur substantial costs without generating corresponding revenue, be required to abandon or modify projects, recognize impairment charges relating to facilities or equipment or divert resources from our existing operations. Any of these events could materially adversely affect our business, financial condition, results of operations and prospects.</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Our mining equipment has been subject to impairment charges, and we may be required to recognize additional impairment losses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we recorded an impairment charge of $7.0 million for property and equipment related to the decline in Bitcoin prices. Our mining equipment may become impaired as a result of changes in market or operating conditions, reduced mining profitability, technological obsolescence, reduced expected mining output or changes in expected future economic benefits. If any of these factors deteriorate, or if additional mining equipment becomes idle or is not expected to return to use, we may be required to recognize additional impairment charges, which could adversely affect our financial condition and results of operations. </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conversion of our facilities from bitcoin mining to artificial intelligence and high-performance computing use is expected to result in the loss of favorable state and local tax treatment, which would increase our operating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operations is located in the state of Kentucky. Kentucky law provides certain tax exemptions for qualifying commercial cryptocurrency mining operations, including exemptions from sales and use taxes on electricity and certain tangible personal property and the utility gross receipts license tax. We currently benefit from these exemptions at our Kentucky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exemptions do not apply to artificial intelligence, high-performance computing, or general data center operations. Accordingly, as we convert facilities from bitcoin mining to artificial intelligence and high-performance computing use, we expect to lose these exemptions with respect to the converted capacity. The loss of these exemptions would increase our electricity costs at the affected facilities. In addition, artificial intelligence and high-performance computing equipment, which generally carries a higher assessed value than bitcoin mining equipment, is expected to increase our tangible personal property tax liability.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Kentucky Qualified Data Center Incentive Program provides a state sales and use tax exemption on qualifying computing equipment only. It does not exempt electricity or reduce local property tax, school tax, or occupational tax. Participation is subject to various eligibility and other conditions. We have not determined whether we will apply for that program, and we can provide no assurance that we would qualify or that its benefits would be material relative to the exemptions we expect to lose.</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Local zoning and permitting requirements, moratoriums on data center development, and community opposition may delay, restrict, or prevent the development, conversion, expansion, or continued operation of our facilities.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operations involve large numbers of high-powered computers and supporting infrastructure that consume substantial amounts of electricity, may consume water, and can generate noise. Data center development, including cryptocurrency mining and artificial intelligence and high-performance computing operations, has become the subject of increasing public attention and, in a number of communities across the United States, organized opposition.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growing number of state, county, and municipal governments have adopted or are considering measures that restrict data center development. Such measures may include temporary moratoriums on new data center development or permitting while applicable regulatory standards are studied or revised and may be adopted in response to community opposition or concerns regarding environmental, infrastructure or other impacts.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Communities that have not previously adopted zoning standards specific to data centers may do so, and the standards ultimately adopted may be more restrictive than those in effect at the time a site was acquired, developed, or placed into service. Such standards may include setback requirements measured from property lines, limits on facility size or footprint, screening, landscaping and berming requirements, noise limits measured at the property line, water use restrictions, decommissioning bond requirements, and restrictions on particular construction methods or building types. Depending on how such standards are formulated, they may materially restrict, or in some cases effectively preclude, the development or expansion of data center facilities on parcels that would otherwise be suitable.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standards of this kind were adopted in a jurisdiction in which we operate, facilities we operate today could fail to obtain or retain legal nonconforming use status, could be required to be modified at significant cost, or could become subject to operating restrictions. Approvals we require may be subject to public hearing processes that are lengthy, uncertain in outcome, and susceptible to organized opposition, and adverse action in one jurisdiction may influence the approach taken by others, including jurisdictions in which we operate or may seek to operate.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matters could result in delays in or denial of permits and approvals; requirements that we implement costly noise, screening, water, or other mitigation measures; restrictions on operating hours or the scale of our operations; obligations to post decommissioning bonds or provide other financial assurances or community commitments as a condition of approval; fines or penalties; litigation; reputational harm; and, in certain circumstances, the curtailment or shutdown of facilities that cannot satisfy applicable requirements. Any of the foregoing could delay or prevent execution of our conversion and growth strategy, increase our costs, reduce our operating capacity, and materially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Our Rights Agreement includes terms and conditions that could discourage a takeover or other transaction that stockholders may consider favorable.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7, 2026, our Board of Directors adopted a shareholder rights plan, pursuant to the Rights Agreement. The Rights Agreement is intended to ensure, to the extent possible, that all shareholders of the Company are treated fairly in connection with a take-over bid or other acquisition of Voting Shares that could result in a person becoming the beneficial owner of 20% or more of the outstanding Voting Shares of the Company. Pursuant to the Rights Agreement, one Right will attach to each Voting Share outstanding as of the close of business on August 20, 2026, the Record Time, and to each Voting Share issued after the Record Time and prior to the earlier of the Separation Time and the Expiration Time. From and after the Separation Time and prior to the Expiration Time, each Right entitles its holder to purchase one common share of the Company at an exercise price equal to three times the market price of a common share determined as of the Separation Time, subject to adjustment in accordance with the Rights Agreement. Upon the occurrence of certain triggering events, each Right, other than Rights beneficially owned by an Acquiring Person or certain related persons, will entitle its holder to purchase common shares having an aggregate market value equal to twice the exercise price of the Right. Alternatively, in certain circumstances, the Company may exchange each outstanding Right, other than Rights that have become void under the Rights Agreement, for one common share, subject to adjustment. The Rights will expire on August 10, 2027, unless earlier redeemed, exchanged or otherwise terminated in accordance with the Rights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Board of Directors adopted the Rights Agreement to protect the interests of the Company’s shareholders. In general terms, subject to the terms and exceptions set forth in the Rights Agreement, the Rights Agreement is designed to impose significant dilution upon any person that becomes an Acquiring Person by acquiring beneficial ownership of 20% or more of the outstanding Voting Shares of the Company without complying with the Rights Agreement. As a result, the overall effect of the Rights Agreement and the issuance of the Rights may be to render more difficult or discourage a take-over bid, merger, arrangement or other business combination or acquisition involving the Company that is not approved by the Board.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Rights Agreement is intended to protect shareholders’ interests, including by providing the Board of Directors sufficient time to make informed judgments and take actions that the Board of Directors determines are in the best interests of the Company and its shareholders. Nevertheless, the Rights Agreement may be considered to have certain anti-takeover effects, including potentially discouraging a third party from attempting to obtain a substantial position in the Voting Shares or seeking to obtain control of the Company and discouraging a take-over attempt that shareholders may consider favorable or that could result in a premium over the market price of the Company’s common shares. Even in the absence of a take-over attempt, the Rights Agreement may adversely affect the prevailing market price of the Company’s common shares if it is viewed as discouraging take-over attempts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Rights Agreement, refer to Note 16 Subsequent Events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55"/>
        <w:gridCol w:w="224"/>
        <w:gridCol w:w="227"/>
        <w:gridCol w:w="2068"/>
        <w:gridCol w:w="1992"/>
        <w:gridCol w:w="2013"/>
        <w:gridCol w:w="259"/>
        <w:gridCol w:w="259"/>
        <w:gridCol w:w="263"/>
        <w:gridCol w:w="432"/>
        <w:gridCol w:w="329"/>
        <w:gridCol w:w="230"/>
        <w:gridCol w:w="279"/>
        <w:gridCol w:w="279"/>
        <w:gridCol w:w="257"/>
        <w:gridCol w:w="294"/>
        <w:gridCol w:w="231"/>
        <w:gridCol w:w="31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Herewith</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Filed</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Arrangement Agreement, dated as of March 5, 2026, by and among Sphere 3D Corp., S3D Acquisition Corp. and Cathedra Bitcoin Inc.</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and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3/25/2015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7/17/2017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1">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9/29/2020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6/28/2023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3.15</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Certificate of Amendment to the Articles of Amalgamation of Sphere 3D Corp.</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3.16</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By-law No. 1, as Amended</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7/17/2017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3.17</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By-law No. 1 Amending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3.18</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By-law No. 1 Amending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3.19</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By-law No. 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5/12/2017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Sphere 3D Corp. 2025 Performance Incentive Plan, as amended</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DEFM14A</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Employment Agreement, by and among Sphere 3D Mining Corp., Sphere 3D Corp., and Joel Block, dated June 1, 2026</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120" w:after="283"/>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280"/>
        <w:gridCol w:w="246"/>
        <w:gridCol w:w="249"/>
        <w:gridCol w:w="2268"/>
        <w:gridCol w:w="2139"/>
        <w:gridCol w:w="2161"/>
        <w:gridCol w:w="259"/>
        <w:gridCol w:w="259"/>
        <w:gridCol w:w="263"/>
        <w:gridCol w:w="223"/>
        <w:gridCol w:w="192"/>
        <w:gridCol w:w="162"/>
        <w:gridCol w:w="271"/>
        <w:gridCol w:w="271"/>
        <w:gridCol w:w="246"/>
        <w:gridCol w:w="264"/>
        <w:gridCol w:w="192"/>
        <w:gridCol w:w="260"/>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Herewith</w:t>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Filed</w:t>
            </w:r>
          </w:p>
        </w:tc>
      </w:tr>
      <w:tr>
        <w:trPr/>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Fourth Amended and Restated Employment Agreement, by and among Sphere 3D Corp. and Kurt Kalbfleisch, dated May 29, 2026</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6/3/2026</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Form of Voting Agreement for Thomas Masiero and Gavin Qu</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6/3/2026</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Form of Voting Agreement for Joel Block</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6/3/2026</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Form of Indemnity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001-36532</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6/3/2026</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1insidertradingpo.htm">
              <w:r>
                <w:rPr>
                  <w:rStyle w:val="InternetLink"/>
                  <w:rFonts w:ascii="Times New Roman;serif" w:hAnsi="Times New Roman;serif"/>
                  <w:b w:val="false"/>
                  <w:color w:val="0000FF"/>
                  <w:sz w:val="20"/>
                  <w:u w:val="single"/>
                </w:rPr>
                <w:t>Insider Trading Policy</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6302026.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vAlign w:val="center"/>
          </w:tcPr>
          <w:p>
            <w:pPr>
              <w:pStyle w:val="TableContents"/>
              <w:bidi w:val="0"/>
              <w:spacing w:before="0" w:after="283"/>
              <w:jc w:val="left"/>
              <w:rPr>
                <w:sz w:val="4"/>
                <w:szCs w:val="4"/>
              </w:rPr>
            </w:pPr>
            <w:r>
              <w:rPr>
                <w:sz w:val="4"/>
                <w:szCs w:val="4"/>
              </w:rPr>
            </w:r>
          </w:p>
        </w:tc>
        <w:tc>
          <w:tcPr>
            <w:tcW w:w="6568"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1504" w:type="dxa"/>
            <w:gridSpan w:val="6"/>
            <w:tcBorders/>
          </w:tcPr>
          <w:p>
            <w:pPr>
              <w:pStyle w:val="TableContents"/>
              <w:bidi w:val="0"/>
              <w:spacing w:before="0" w:after="283"/>
              <w:jc w:val="left"/>
              <w:rPr>
                <w:sz w:val="4"/>
                <w:szCs w:val="4"/>
              </w:rPr>
            </w:pPr>
            <w:r>
              <w:rPr>
                <w:sz w:val="4"/>
                <w:szCs w:val="4"/>
              </w:rPr>
            </w:r>
          </w:p>
        </w:tc>
      </w:tr>
      <w:tr>
        <w:trPr/>
        <w:tc>
          <w:tcPr>
            <w:tcW w:w="775" w:type="dxa"/>
            <w:gridSpan w:val="3"/>
            <w:tcBorders/>
            <w:vAlign w:val="center"/>
          </w:tcPr>
          <w:p>
            <w:pPr>
              <w:pStyle w:val="TableContents"/>
              <w:bidi w:val="0"/>
              <w:spacing w:before="0" w:after="283"/>
              <w:jc w:val="left"/>
              <w:rPr>
                <w:sz w:val="4"/>
                <w:szCs w:val="4"/>
              </w:rPr>
            </w:pPr>
            <w:r>
              <w:rPr>
                <w:sz w:val="4"/>
                <w:szCs w:val="4"/>
              </w:rPr>
            </w:r>
          </w:p>
        </w:tc>
        <w:tc>
          <w:tcPr>
            <w:tcW w:w="6568"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775" w:type="dxa"/>
            <w:gridSpan w:val="3"/>
            <w:tcBorders/>
            <w:vAlign w:val="center"/>
          </w:tcPr>
          <w:p>
            <w:pPr>
              <w:pStyle w:val="TableContents"/>
              <w:bidi w:val="0"/>
              <w:spacing w:before="0" w:after="283"/>
              <w:jc w:val="left"/>
              <w:rPr>
                <w:sz w:val="4"/>
                <w:szCs w:val="4"/>
              </w:rPr>
            </w:pPr>
            <w:r>
              <w:rPr>
                <w:sz w:val="4"/>
                <w:szCs w:val="4"/>
              </w:rPr>
            </w:r>
          </w:p>
        </w:tc>
        <w:tc>
          <w:tcPr>
            <w:tcW w:w="6568"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6302026.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6302026.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6302026.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as contained in Exhibit 101)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20" w:after="283"/>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Certain of the schedules to this exhibit have been omitted in accordance with Regulation S-K Item 601(a)(5). Sphere agrees to furnish supplementally a copy of all omitted exhibits and schedules to the Securities and Exchange Commission upon its request.</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compensation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2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239"/>
        <w:gridCol w:w="239"/>
        <w:gridCol w:w="239"/>
        <w:gridCol w:w="803"/>
        <w:gridCol w:w="803"/>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Sphere 3D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Joel Block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Joel Block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38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4"/>
        <w:gridCol w:w="134"/>
        <w:gridCol w:w="136"/>
        <w:gridCol w:w="706"/>
        <w:gridCol w:w="706"/>
        <w:gridCol w:w="1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Kurt L. Kalbfleisch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Kurt L. Kalbfleisch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19.1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SPHERE 3D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1. Purpose of this Policy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0"/>
        </w:rPr>
        <w:t>The purpose of this Insider Trading Policy of the Company (this “</w:t>
      </w:r>
      <w:r>
        <w:rPr>
          <w:rFonts w:ascii="Times New Roman;serif" w:hAnsi="Times New Roman;serif"/>
          <w:b/>
          <w:color w:val="000000"/>
          <w:sz w:val="20"/>
        </w:rPr>
        <w:t>Policy</w:t>
      </w:r>
      <w:r>
        <w:rPr>
          <w:color w:val="000000"/>
        </w:rPr>
        <w:t>”</w:t>
      </w:r>
      <w:r>
        <w:rPr>
          <w:rFonts w:ascii="Times New Roman;serif" w:hAnsi="Times New Roman;serif"/>
          <w:b w:val="false"/>
          <w:color w:val="000000"/>
          <w:sz w:val="20"/>
        </w:rPr>
        <w:t xml:space="preserve">) is to set forth certain policies to ensure: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that all persons to whom this Policy applies understand their obligations to preserve the confidentiality of Material Non-Public Information (as defined herein);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that all appropriate parties who have Material Non-Public Information understand that they are prohibited from Insider Trading or Tipping (as each such term is defined in Schedule “A”) under U.S. federal securities laws, other applicable law, Nasdaq listing standards and this Policy.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2. To Whom this Policy Applies </w:t>
      </w:r>
    </w:p>
    <w:p>
      <w:pPr>
        <w:pStyle w:val="TextBody"/>
        <w:bidi w:val="0"/>
        <w:spacing w:before="0" w:after="0"/>
        <w:jc w:val="both"/>
        <w:rPr/>
      </w:pPr>
      <w:r>
        <w:rPr/>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2.1    This Policy applies to all Board Members, Officers, Employees and Contractors of the Company and its Subsidiaries, their respective Affiliated Persons (as each such term is defined in Schedule “A”) as well as any other individual and their Affiliated Persons whom the Compliance Officer (as defined herein) may designate as “insiders” because they have access to Material Non-Public Information. References in this Policy to “any person to whom this Policy applies” or similar references are intended to include all of the foregoing persons.</w:t>
      </w:r>
    </w:p>
    <w:p>
      <w:pPr>
        <w:pStyle w:val="TextBody"/>
        <w:bidi w:val="0"/>
        <w:spacing w:before="0" w:after="0"/>
        <w:ind w:left="0" w:right="0" w:hanging="81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2.2    This Policy continues to apply to any person following the termination of such person’s service or employment with the Company until the later of: (i) 6:00 a.m. (EST) on the first Trading Day (as such term is defined in Schedule “A”) following the completion of a full Trading Day following public release of the Company’s financial results for a fiscal quarter or fiscal year by way of a news release (a “</w:t>
      </w:r>
      <w:r>
        <w:rPr>
          <w:rFonts w:ascii="Times New Roman;serif" w:hAnsi="Times New Roman;serif"/>
          <w:b/>
          <w:color w:val="000000"/>
          <w:sz w:val="20"/>
        </w:rPr>
        <w:t>Financial News Release</w:t>
      </w:r>
      <w:r>
        <w:rPr>
          <w:color w:val="000000"/>
        </w:rPr>
        <w:t>”</w:t>
      </w:r>
      <w:r>
        <w:rPr>
          <w:rFonts w:ascii="Times New Roman;serif" w:hAnsi="Times New Roman;serif"/>
          <w:b w:val="false"/>
          <w:color w:val="000000"/>
          <w:sz w:val="20"/>
        </w:rPr>
        <w:t>); or (ii) the second Trading Day after any Material Non-Public Information known to such person at the time of termination has been publicly disclosed or is no longer material. Any person who is uncertain as to their obligations following termination should contact the Compliance Officer.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3. Responsibility for this Policy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Company’s Board of Directors has appointed the Company’s Chief Financial Officer (the “</w:t>
      </w:r>
      <w:r>
        <w:rPr>
          <w:rFonts w:ascii="Times New Roman;serif" w:hAnsi="Times New Roman;serif"/>
          <w:b/>
          <w:color w:val="000000"/>
          <w:sz w:val="20"/>
        </w:rPr>
        <w:t>CFO</w:t>
      </w:r>
      <w:r>
        <w:rPr>
          <w:color w:val="000000"/>
        </w:rPr>
        <w:t>”</w:t>
      </w:r>
      <w:r>
        <w:rPr>
          <w:rFonts w:ascii="Times New Roman;serif" w:hAnsi="Times New Roman;serif"/>
          <w:b w:val="false"/>
          <w:color w:val="000000"/>
          <w:sz w:val="20"/>
        </w:rPr>
        <w:t>) as the Compliance Officer (with their designees, the “</w:t>
      </w:r>
      <w:r>
        <w:rPr>
          <w:rFonts w:ascii="Times New Roman;serif" w:hAnsi="Times New Roman;serif"/>
          <w:b/>
          <w:color w:val="000000"/>
          <w:sz w:val="20"/>
        </w:rPr>
        <w:t>Compliance Officer</w:t>
      </w:r>
      <w:r>
        <w:rPr>
          <w:color w:val="000000"/>
        </w:rPr>
        <w:t>”</w:t>
      </w:r>
      <w:r>
        <w:rPr>
          <w:rFonts w:ascii="Times New Roman;serif" w:hAnsi="Times New Roman;serif"/>
          <w:b w:val="false"/>
          <w:color w:val="000000"/>
          <w:sz w:val="20"/>
        </w:rPr>
        <w:t xml:space="preserve">) to administer this policy. The Board of Directors may update the Compliance Officer from time to time in its sole discretion. The Compliance Officer is responsible for overseeing compliance for this Policy. Changes to this Policy shall be approved by the Board of Directors. Any questions or issues which arise under this Policy shall be brought to the attention of the Board of Directors or, if time does not permit review by the Board, then to any member of the Board.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4. Confidentiality of Material Non-Public Information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4.1    “</w:t>
      </w:r>
      <w:r>
        <w:rPr>
          <w:rFonts w:ascii="Times New Roman;serif" w:hAnsi="Times New Roman;serif"/>
          <w:b/>
          <w:color w:val="000000"/>
          <w:sz w:val="20"/>
        </w:rPr>
        <w:t>Material Non-Public Information</w:t>
      </w:r>
      <w:r>
        <w:rPr>
          <w:color w:val="000000"/>
        </w:rPr>
        <w:t xml:space="preserve">” </w:t>
      </w:r>
      <w:r>
        <w:rPr>
          <w:rFonts w:ascii="Times New Roman;serif" w:hAnsi="Times New Roman;serif"/>
          <w:b w:val="false"/>
          <w:color w:val="000000"/>
          <w:sz w:val="20"/>
        </w:rPr>
        <w:t>means information that (i) is material, in that there is a substantial likelihood that a reasonable investor would consider it important in making an investment decision or that it would significantly affect the market price of the Company’s securities, and (ii) has not been disclosed to the public in a manner making it available to investors generally. Schedule “B” contains a non-exhaustive list of examples of information that may be Material Non-Public Information.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4.2    Any person to whom this Policy applies who becomes aware of information that has the possibility of being Material Non-Public Information must immediately disclose that information to the Company’s Chief Executive Officer (the “</w:t>
      </w:r>
      <w:r>
        <w:rPr>
          <w:rFonts w:ascii="Times New Roman;serif" w:hAnsi="Times New Roman;serif"/>
          <w:b/>
          <w:color w:val="000000"/>
          <w:sz w:val="20"/>
        </w:rPr>
        <w:t>CEO</w:t>
      </w:r>
      <w:r>
        <w:rPr>
          <w:color w:val="000000"/>
        </w:rPr>
        <w:t>”</w:t>
      </w:r>
      <w:r>
        <w:rPr>
          <w:rFonts w:ascii="Times New Roman;serif" w:hAnsi="Times New Roman;serif"/>
          <w:b w:val="false"/>
          <w:color w:val="000000"/>
          <w:sz w:val="20"/>
        </w:rPr>
        <w:t xml:space="preserve">) or the Compliance Officer. </w:t>
      </w:r>
    </w:p>
    <w:p>
      <w:pPr>
        <w:pStyle w:val="TextBody"/>
        <w:bidi w:val="0"/>
        <w:ind w:left="0" w:right="0" w:hanging="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4.3    Any person to whom this Policy applies and who has knowledge of Material Non-Public Information must treat it as confidential until it has been publicly disclosed in a manner making it available to investors generally. </w:t>
      </w:r>
    </w:p>
    <w:p>
      <w:pPr>
        <w:pStyle w:val="TextBody"/>
        <w:bidi w:val="0"/>
        <w:spacing w:before="0" w:after="0"/>
        <w:ind w:left="0" w:right="0" w:hanging="72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4.4    Material Non-Public Information must not be disclosed to anyone, except to persons within the Company or its affiliates whose positions require them to know it.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4.5    Tipping is prohibited.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0"/>
        </w:rPr>
        <w:t>For the avoidance of doubt, disclosure of Material Non-Public Information to analysts, institutional investors, other market professionals, or members of the press or other media is prohibited. Any selective disclosure of Material Non-Public Information to market professionals or investors must comply with Regulation FD (17 C.F.R. Part 243) under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and the Company’s related policies regarding public communications.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4.6    In order to prevent the misuse of and inadvertent disclosure of Material Non-Public Information, the procedures set forth below should be observed at all times: </w:t>
      </w:r>
    </w:p>
    <w:p>
      <w:pPr>
        <w:pStyle w:val="TextBody"/>
        <w:bidi w:val="0"/>
        <w:spacing w:before="0" w:after="0"/>
        <w:ind w:left="0" w:right="0" w:hanging="72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documents and files containing confidential information should be kept in a safe place to which access is restricted to individuals who “need to know” that information in the necessary course of business and code names should be used if necessary;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confidential matters should not be discussed in places where the discussion may be overheard;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transmission of documents containing Material Non-Public Information by electronic means will be made only where it is reasonable to believe that the transmission can be made and received under secure conditions such as a dedicated server;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unnecessary copying of documents containing Material Non-Public Information must be avoided and extra copies of documents must be promptly removed from meeting rooms and work areas at the conclusion of the meeting and must be destroyed if no longer required.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5. Trading of Securities of the Company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5.1     All persons to whom this Policy applies are prohibited from engaging in Insider Trading and from Trading (as such term is defined in Schedule “A”) in securities in violation of this Policy. Insider Trading can result in criminal prosecution, jail time, significant fines and public embarrassment for such persons and the Company. When any person to whom this Policy applies is in possession of Material Non-Public Information about the Company, whether positive or negative, such person is prohibited from Trading (whether for such person’s own account or for the account of another) in the Company’s securities, which include common shares, share options to purchase common shares, any other type of securities that the Company may issue (such as preferred stock, convertible debentures, warrants and exchange-traded options), and any derivative securities that provide the economic equivalent of ownership of any of the Company’s securities or an opportunity, direct or indirect, to profit from any change in the value of the Company’s securities, except for Trades (as such term is defined in Schedule “A”) made pursuant to plans approved by the Compliance Officer in accordance with this Policy that comply with Rule 10b5-1 under the Exchange Act.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5.2     The following pre-clearance requirements apply to Trades in securities of the Company:</w:t>
      </w:r>
    </w:p>
    <w:p>
      <w:pPr>
        <w:pStyle w:val="TextBody"/>
        <w:bidi w:val="0"/>
        <w:spacing w:before="0" w:after="0"/>
        <w:ind w:left="0" w:right="0" w:hanging="72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 Board Members, Officers, Employees with direct involvement with respect to the preparation of the Company’s financial statements, administrative assistants of Officers and Employees with direct involvement with respect to the preparation of the Company’s financial statements, and such other Employees and Contractors designated pursuant to Section 5.3 must obtain the prior written approval of the Compliance Officer before executing any Trade in securities of the Company, including any exercise of compensatory share options where the underlying shares will be sold, any pledge of Company securities as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collateral for a loan, any purchase of Company securities on margin, any arrangement to hold Company securities in a margin account, and any bona fide gift of Company securities. A request for pre-clearance must be submitted in writing to the Compliance Officer at least two (2) business days in advance of the proposed transaction. The Compliance Officer shall respond within two (2) business days of receipt; failure to respond within such period shall be deemed a denial. An approval is valid for five (5) business days from the date of approval and does not constitute a representation that the transaction is lawful under applicable securities laws. The Compliance Officer must obtain the approval of the CEO (or, if the Compliance Officer is the CEO, the approval of the CFO) before executing any Trade in securities of the Company, and may designate the CEO (or, if the Compliance Officer is the CEO, the approval of the CFO) to act as alternate or delegate when the Compliance Officer is unavailable. Note that at times the Compliance Officer may determine that no Trades may occur even during a Trading Window when pre-clearance is requested. No reasons need be provided, and the closing of the Trading Window itself may constitute Material Non-Public Information that should not be communicated.</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All other Employees and Contractors are not subject to pre-clearance requirements but remain subject to this Policy, including Sections 5.1 and 5.3.</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5.3     The following persons shall not Trade in securities of the Company except during a Trading Window when no Blackout Period is in effect: (a) Board Members; (b) Officers; (c) Employees with direct involvement with respect to the preparation of the Company’s financial statements; (d) administrative assistants of the persons described in clauses (b) and (c); and (e) such other Employees and Contractors as may be designated from time to time by the CEO or the Compliance Officer. In addition, if at any time outside of a Trading Window the Compliance Officer, in consultation with the CEO, determines that all Material Non-Public Information has been disclosed to the public such that opening the Trading Window would not be inconsistent with this Policy, the Compliance Officer may open the Trading Window for a limited period of time.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5.4     “</w:t>
      </w:r>
      <w:r>
        <w:rPr>
          <w:rFonts w:ascii="Times New Roman;serif" w:hAnsi="Times New Roman;serif"/>
          <w:b/>
          <w:color w:val="000000"/>
          <w:sz w:val="20"/>
        </w:rPr>
        <w:t>Trading Window</w:t>
      </w:r>
      <w:r>
        <w:rPr>
          <w:color w:val="000000"/>
        </w:rPr>
        <w:t xml:space="preserve">” </w:t>
      </w:r>
      <w:r>
        <w:rPr>
          <w:rFonts w:ascii="Times New Roman;serif" w:hAnsi="Times New Roman;serif"/>
          <w:b w:val="false"/>
          <w:color w:val="000000"/>
          <w:sz w:val="20"/>
        </w:rPr>
        <w:t>means: (a) the period of time beginning at 6:00 a.m. (EST) on the first Trading Day following the completion of a full Trading Day following a Financial News Release and ending at 11:59 p.m. (EST) on the 20th day of the last month of that quarter and (b) any other period designated by the Compliance Officer and communicated to those persons to whom this Policy applies.</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color w:val="000000"/>
          <w:sz w:val="20"/>
        </w:rPr>
        <w:t>Blackout Period</w:t>
      </w:r>
      <w:r>
        <w:rPr>
          <w:color w:val="000000"/>
        </w:rPr>
        <w:t xml:space="preserve">” </w:t>
      </w:r>
      <w:r>
        <w:rPr>
          <w:rFonts w:ascii="Times New Roman;serif" w:hAnsi="Times New Roman;serif"/>
          <w:b w:val="false"/>
          <w:color w:val="000000"/>
          <w:sz w:val="20"/>
        </w:rPr>
        <w:t xml:space="preserve">means: (a) any time when Trading securities of the Company is prohibited pursuant to this Policy; and (b) any other period designated by the Compliance Officer and communicated to those persons to whom this Policy applies.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5.5     The Trading prohibitions in Sections 5.1 through 5.4 above do not apply to:</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acquisition of securities through the exercise of share options or settlement of outstanding equity awards pursuant to their terms; provided, however, that this carve-out does not apply to the sale of any securities acquired through the exercise or settlement of such awards, as applicable; or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withholding by the Company of Common Shares upon vesting of restricted stock or upon settlement of restricted stock units to satisfy applicable tax withholding requirements, if (i) such withholding is required by the applicable plan or award agreement, or (ii) the election to exercise such tax withholding right was made by the person in compliance with the pre-clearance procedures in Section 5.2; provided, however, that this carve-out does not apply to any open-market sale of shares to satisfy tax withholding obligations.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5.6     Notwithstanding the Trading restrictions in Sections 5.1 through 5.5 above, a person subject to this Policy may Trade in securities of the Company pursuant to a written trading plan (a “</w:t>
      </w:r>
      <w:r>
        <w:rPr>
          <w:rFonts w:ascii="Times New Roman;serif" w:hAnsi="Times New Roman;serif"/>
          <w:b/>
          <w:color w:val="000000"/>
          <w:sz w:val="20"/>
        </w:rPr>
        <w:t>10b5-1 Plan</w:t>
      </w:r>
      <w:r>
        <w:rPr>
          <w:color w:val="000000"/>
        </w:rPr>
        <w:t>”</w:t>
      </w:r>
      <w:r>
        <w:rPr>
          <w:rFonts w:ascii="Times New Roman;serif" w:hAnsi="Times New Roman;serif"/>
          <w:b w:val="false"/>
          <w:color w:val="000000"/>
          <w:sz w:val="20"/>
        </w:rPr>
        <w:t xml:space="preserve">) that satisfies the conditions of Rule 10b5-1 under the Exchange Act, subject to the following requirements: </w:t>
      </w:r>
    </w:p>
    <w:p>
      <w:pPr>
        <w:pStyle w:val="TextBody"/>
        <w:bidi w:val="0"/>
        <w:spacing w:before="0" w:after="0"/>
        <w:ind w:left="0" w:right="0" w:hanging="72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 the 10b5-1 Plan must be entered into, amended, or terminated during an open Trading Window and at a time when the person does not possess Material Non-Public Information and the 10b5-1 Plan must be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entered into in good faith by the person, and not as part of a plan or scheme to evade the prohibitions of Rule 10b5-1;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 no Trades may be made under a 10b5-1 Plan until the expiration of a cooling-off period of (i) for Board Members and Officers, the later of (A) 90 days after adoption or modification of the plan and (B) two business days after the filing of the Company’s Form 10-Q or Form 10-K for the fiscal quarter in which the plan was adopted or modified (subject to a maximum of 120 days), and (ii) for all other persons, 30 days after adoption or modification of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 a person may not maintain more than one 10b5-1 Plan at the same time, except as permitted under Rule 10b5-1(c)(1)(ii)(D);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 a person may not enter into more than one single-trade 10b5-1 Plan during any 12-month period; and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 Board Members and Officers must provide a written certification to the Compliance Officer at the time of adoption of any 10b5-1 Plan confirming that (i) the person is not aware of any Material Non-Public Information, (ii) the plan is being adopted in good faith and not as part of a scheme to evade the prohibitions of this Policy, and (iii) all trades to be made pursuant to the 10b5-1 Plan will be in accordance with the trading restrictions of Rule 144 under the Securities Act of 1933, as amended (the “</w:t>
      </w:r>
      <w:r>
        <w:rPr>
          <w:rFonts w:ascii="Times New Roman;serif" w:hAnsi="Times New Roman;serif"/>
          <w:b/>
          <w:color w:val="000000"/>
          <w:sz w:val="20"/>
        </w:rPr>
        <w:t>Securities Act</w:t>
      </w:r>
      <w:r>
        <w:rPr>
          <w:color w:val="000000"/>
        </w:rPr>
        <w:t>”</w:t>
      </w:r>
      <w:r>
        <w:rPr>
          <w:rFonts w:ascii="Times New Roman;serif" w:hAnsi="Times New Roman;serif"/>
          <w:b w:val="false"/>
          <w:color w:val="000000"/>
          <w:sz w:val="20"/>
        </w:rPr>
        <w:t>), to the extent such restrictions are applicable;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 the 10b5-1 Plan must either (i) specify the amount of securities to be purchased or sold, the price at which and the date on which the securities are to be purchased or sold, (ii) include a written formula, algorithm or computer program for determining the amount of securities to be purchased or sold and the price at which and the date on which the securities are to be purchased or sold, or (iii) not permit the person to exercise any subsequent influence over how, when or whether to effect transactions; provided that any other person who, pursuant to the plan, exercises such influence must not have been aware of Material Non-Public Information when doing 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10b5-1 Plan, and any amendment or termination thereof, must be submitted to and approved by the Compliance Officer prior to effectiveness. The Compliance Officer may refuse to approve a 10b5-1 Plan, or any modification or termination thereof, as they deem appropriate, including if they determine that such plan or action does not satisfy the requirements of Rule 10b5-1. For the avoidance of doubt, the cooling-off period applies to any modification of a 10b5-1 Plan that changes the pricing, amount of securities, or timing of transactions thereunder, but does not apply to purely ministerial changes such as changes in account information or adjustments for stock splits. All persons entering into a 10b5-1 Plan must act in good faith with respect to the plan at all times. Persons considering the adoption of a 10b5-1 Plan should contact the Compliance Officer well in advance of the intended adoption date.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5.7    The prohibitions on Insider Trading and Tipping in this Policy also apply to Trades in securities of other companies. No person to whom this Policy applies may (a) Trade in securities of any other company while in possession of Material Non-Public Information about that company obtained in the course of their service or employment with the Company, or (b) disclose Material Non-Public Information about another company to any person who may Trade on the basis of that information. This includes, for example, Material Non-Public Information about the Company’s customers, suppliers, partners, acquisition targets, or other companies with whom the Company has a business relationship.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6. Additional Prohibited Transactions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transactions are prohibited unless authorized by the Audit Committee of the Board of Directors. </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ind w:left="0" w:right="0" w:hanging="720"/>
        <w:jc w:val="both"/>
        <w:rPr/>
      </w:pPr>
      <w:r>
        <w:rPr>
          <w:rFonts w:ascii="Times New Roman;serif" w:hAnsi="Times New Roman;serif"/>
          <w:b w:val="false"/>
          <w:color w:val="000000"/>
          <w:sz w:val="20"/>
        </w:rPr>
        <w:t>6.1    </w:t>
      </w:r>
      <w:r>
        <w:rPr>
          <w:rFonts w:ascii="Times New Roman;serif" w:hAnsi="Times New Roman;serif"/>
          <w:b/>
          <w:i/>
          <w:color w:val="000000"/>
          <w:sz w:val="20"/>
        </w:rPr>
        <w:t xml:space="preserve">Hedging. </w:t>
      </w:r>
      <w:r>
        <w:rPr>
          <w:rFonts w:ascii="Times New Roman;serif" w:hAnsi="Times New Roman;serif"/>
          <w:b w:val="false"/>
          <w:color w:val="000000"/>
          <w:sz w:val="20"/>
        </w:rPr>
        <w:t xml:space="preserve">No person to whom this Policy applies may enter into any hedging or monetization transaction with respect to securities of the Company, including transactions involving options, puts, calls, prepaid variable forward contracts, equity swaps, collars, exchange funds or other derivative instruments, whether or not such instruments are settable in shares of the Company. Such transactions may permit a person to continue to own Company securities without the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full risks and rewards of ownership, and therefore may cause the person’s interests to no longer be aligned with those of other shareholders. In addition, hedging transactions in Company securities may give rise to the appearance of Trading on the basis of Material Non-Public Information. This prohibition applies whether or not a Trading Window is open.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6.2    </w:t>
      </w:r>
      <w:r>
        <w:rPr>
          <w:rFonts w:ascii="Times New Roman;serif" w:hAnsi="Times New Roman;serif"/>
          <w:b/>
          <w:i/>
          <w:color w:val="000000"/>
          <w:sz w:val="20"/>
        </w:rPr>
        <w:t xml:space="preserve">Short Sales. </w:t>
      </w:r>
      <w:r>
        <w:rPr>
          <w:rFonts w:ascii="Times New Roman;serif" w:hAnsi="Times New Roman;serif"/>
          <w:b w:val="false"/>
          <w:color w:val="000000"/>
          <w:sz w:val="20"/>
        </w:rPr>
        <w:t>No person to whom this Policy applies may sell securities of the Company “short” (i.e., selling securities that the seller does not own at the time of sale, or that are not delivered within the period required by applicable rules). Short sales of Company securities evidence an expectation that the price of the securities will decline and therefore signal to the market that the seller lacks confidence in the Company’s prospects. In addition, short sales may give rise to the appearance of Trading on the basis of Material Non-Public Information. Section 16(c) of the Exchange Act independently prohibits short sales by Board Members and Officers of the Company.</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6.3    </w:t>
      </w:r>
      <w:r>
        <w:rPr>
          <w:rFonts w:ascii="Times New Roman;serif" w:hAnsi="Times New Roman;serif"/>
          <w:b/>
          <w:i/>
          <w:color w:val="000000"/>
          <w:sz w:val="20"/>
        </w:rPr>
        <w:t>Pledging as collateral</w:t>
      </w:r>
      <w:r>
        <w:rPr>
          <w:rFonts w:ascii="Times New Roman;serif" w:hAnsi="Times New Roman;serif"/>
          <w:b w:val="false"/>
          <w:color w:val="000000"/>
          <w:sz w:val="20"/>
        </w:rPr>
        <w:t>. No person to whom this Policy applies may use the Company’s securities as collateral in a margin account or pledge Company securities as collateral for a loan (or modify an existing pledge).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6.4    </w:t>
      </w:r>
      <w:r>
        <w:rPr>
          <w:rFonts w:ascii="Times New Roman;serif" w:hAnsi="Times New Roman;serif"/>
          <w:b/>
          <w:i/>
          <w:color w:val="000000"/>
          <w:sz w:val="20"/>
        </w:rPr>
        <w:t>Gifts and donations.</w:t>
      </w:r>
      <w:r>
        <w:rPr>
          <w:color w:val="000000"/>
        </w:rPr>
        <w:t xml:space="preserve"> </w:t>
      </w:r>
      <w:r>
        <w:rPr>
          <w:rFonts w:ascii="Times New Roman;serif" w:hAnsi="Times New Roman;serif"/>
          <w:b w:val="false"/>
          <w:color w:val="000000"/>
          <w:sz w:val="20"/>
        </w:rPr>
        <w:t>No person to whom this Policy applies may make a gift, charitable contribution or other transfer of Company securities without consideration during any period when Trading is not permitted under this Policy. For the avoidance of doubt, this applies to distributions by any limited partnership, trust or other entity subject to this Policy to its partners, beneficiaries or shareholders.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6.5    While this Policy does not prohibit persons from ever Trading in Company securities, all persons to whom this Policy applies are discouraged from engaging in short-term or speculative Trading in Company securities. Frequent Trading in Company securities based on short-range fluctuations in the market price may put the personal interests of the trader in conflict with the interests of the Company and its shareholders and may give rise to the appearance of Trading on the basis of Material Non-Public Information.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7. Additional Requirements; Section 16 Compliance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7.1    Board Members and Officers are subject to the reporting and short-swing profit recapture provisions of Section 16 of the Exchange Act. Section 16(a) requires Board Members and Officers to publicly report changes in their beneficial ownership of Company equity securities on Forms 3, 4 and 5, generally within two business days of a reportable transaction. Board Members and Officers should be aware that all changes in the amount or form of their beneficial ownership must be reported, including bona fide gifts of Company equity securities and transactions by certain family members sharing the same household. Section 16(b) requires Board Members and Officers to disgorge to the Company any profit realized on a “short-swing” transaction (i.e., a purchase and sale, or sale and purchase, of Company equity securities within any period of less than six months), regardless of intent. By law, the Company cannot waive or release any claim it may have under Section 16(b). Section 16(c) prohibits Board Members and Officers from effecting short sales of Company equity securities. The Section 16 rules are complex and present ample opportunity for inadvertent error. All Board Members and Officers are strongly urged to notify the Compliance Officer prior to any transaction or change in their beneficial ownership of Company securities so that compliance with Section 16 can be confirmed in advance. Board Members and Officers who are required to file reports under Section 16 must also inform all broker-dealers that may Trade in securities of the Company on their behalf of their status as a Section 16 reporting person, and must arrange for their broker to provide transaction information to the Compliance Officer on the same day on which any Trade order is placed or executed.</w:t>
      </w:r>
    </w:p>
    <w:p>
      <w:pPr>
        <w:pStyle w:val="TextBody"/>
        <w:bidi w:val="0"/>
        <w:spacing w:before="0" w:after="0"/>
        <w:ind w:left="0" w:right="0" w:hanging="720"/>
        <w:jc w:val="both"/>
        <w:rPr/>
      </w:pPr>
      <w:r>
        <w:rPr/>
      </w:r>
    </w:p>
    <w:p>
      <w:pPr>
        <w:pStyle w:val="TextBody"/>
        <w:bidi w:val="0"/>
        <w:spacing w:lineRule="auto" w:line="288"/>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7.2    The Securities Act requires every person who offers or sells a security to register such transaction with the SEC unless an exemption from registration is available. Rule 144 under the Securities Act is the exemption typically relied upon for public resales by Board Members, Officers and other persons who may be deemed “affiliates” of the Company, as well as for public resales by any holder of “restricted securities” (i.e., securities acquired in a private transaction not registered under the Securities Act). Board Members, Officers and other affiliates are subject to volume limitations (generally, no more than the greater of 1% of the outstanding shares of the class or the average weekly reported trading volume during the four calendar weeks preceding the sale), manner of sale requirements, and current public information requirements when selling Company securities into the public market. Holders of restricted securities issued by a reporting company are subject to a six-month holding period before such securities may be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resold publicly under Rule 144. The Rule 144 requirements are technical and an inadvertent failure to comply can have serious consequences. All Board Members, Officers and other persons who may be subject to these requirements should consult with the Compliance Officer prior to any proposed sale of Company securities to confirm compliance with Rule 144.</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7.3    The Company does not time the public disclosure of Material Non-Public Information, or the grant of equity awards, for the purpose of benefiting the recipients of such awards. The Board of Directors or its designated committee shall consider the Company’s possession of Material Non-Public Information when determining the timing of any equity award grant and shall determine whether a grant is appropriate under the circumstances or should be delayed or otherwise modified.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8. Consequences of Non-Compliance with this Policy</w:t>
      </w:r>
    </w:p>
    <w:p>
      <w:pPr>
        <w:pStyle w:val="TextBody"/>
        <w:bidi w:val="0"/>
        <w:spacing w:before="0" w:after="0"/>
        <w:ind w:left="0" w:right="0" w:hanging="720"/>
        <w:jc w:val="both"/>
        <w:rPr/>
      </w:pPr>
      <w:r>
        <w:rPr/>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 xml:space="preserve">8.1     Any Board Member, Officer, Employee or Contractor who violates this Policy may face disciplinary action as is appropriate under the circumstances, including termination of his or her position for cause without notice. </w:t>
      </w:r>
    </w:p>
    <w:p>
      <w:pPr>
        <w:pStyle w:val="TextBody"/>
        <w:bidi w:val="0"/>
        <w:spacing w:before="0" w:after="0"/>
        <w:ind w:left="0" w:right="0" w:hanging="810"/>
        <w:jc w:val="both"/>
        <w:rPr/>
      </w:pPr>
      <w:r>
        <w:rPr/>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 xml:space="preserve">8.2     Any person to whom this Policy applies who violates this Policy may have also breached securities laws and the Company may refer the matter to the appropriate regulatory authority, which could lead to the imposition of fines, penalties or imprisonment. Violation of this Policy may also lead to civil liability for damages. </w:t>
      </w:r>
    </w:p>
    <w:p>
      <w:pPr>
        <w:pStyle w:val="TextBody"/>
        <w:bidi w:val="0"/>
        <w:spacing w:lineRule="auto" w:line="288"/>
        <w:ind w:left="0" w:right="0" w:hanging="720"/>
        <w:jc w:val="center"/>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p>
                  </w:txbxContent>
                </v:textbox>
                <w10:wrap type="none"/>
              </v:rect>
            </w:pict>
          </mc:Fallback>
        </mc:AlternateContent>
      </w:r>
    </w:p>
    <w:p>
      <w:pPr>
        <w:pStyle w:val="TextBody"/>
        <w:bidi w:val="0"/>
        <w:spacing w:before="0" w:after="0"/>
        <w:ind w:left="0" w:right="0" w:hanging="720"/>
        <w:jc w:val="center"/>
        <w:rPr/>
      </w:pPr>
      <w:r>
        <w:rPr/>
      </w:r>
    </w:p>
    <w:p>
      <w:pPr>
        <w:pStyle w:val="TextBody"/>
        <w:bidi w:val="0"/>
        <w:spacing w:lineRule="auto" w:line="288"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SCHEDULE “A”</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defined terms are used in this Policy:</w:t>
      </w:r>
    </w:p>
    <w:p>
      <w:pPr>
        <w:pStyle w:val="TextBody"/>
        <w:bidi w:val="0"/>
        <w:spacing w:before="0" w:after="0"/>
        <w:ind w:left="0" w:right="0" w:hanging="144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Affiliated Persons</w:t>
      </w:r>
      <w:r>
        <w:rPr>
          <w:color w:val="000000"/>
        </w:rPr>
        <w:t xml:space="preserve">” </w:t>
      </w:r>
      <w:r>
        <w:rPr>
          <w:rFonts w:ascii="Times New Roman;serif" w:hAnsi="Times New Roman;serif"/>
          <w:b w:val="false"/>
          <w:color w:val="000000"/>
          <w:sz w:val="20"/>
        </w:rPr>
        <w:t>means, with respect to any Board Member, Officer, Employee or Contractor: (i) Family Members, (ii) all trusts, family partnerships and other types of entities formed for the benefit of such Board Member, Officer, Employee or Contractor or for the benefit of a member of such individual’s family and over which such individual has the ability to influence or direct investment decisions concerning securities, (iii) all persons who execute trades on behalf of such Board Member, Officer, Employee or Contractor, (iv) all investment funds, trusts, retirement plans, partnerships, corporations and other types of entities over which such individual has the ability to influence or direct investment decisions concerning securities; provided, however, that this Policy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including the establishment of internal information barriers to ensure that any Material Non-Public Information concerning the Company of which such Board Member, Officer, Employee or Contractor may become possessed is not shared with the persons at such entity making investment decisions with respect to securities issued by the Company; and (c) are aware that the securities laws prohibit any person or entity who has Material Non-Public Information concerning the Company from Trading in securities of the Company or from communicating such information to any other person under circumstances in which it is reasonably foreseeable that such person is likely to Trade in securities of the Company.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Board Member</w:t>
      </w:r>
      <w:r>
        <w:rPr>
          <w:color w:val="000000"/>
        </w:rPr>
        <w:t xml:space="preserve">” </w:t>
      </w:r>
      <w:r>
        <w:rPr>
          <w:rFonts w:ascii="Times New Roman;serif" w:hAnsi="Times New Roman;serif"/>
          <w:b w:val="false"/>
          <w:color w:val="000000"/>
          <w:sz w:val="20"/>
        </w:rPr>
        <w:t>means a member of the Board of Directors of the Company.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means an independent contractor engaged by the Company or any of its subsidiaries in a capacity similar to that of an employee.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Employee</w:t>
      </w:r>
      <w:r>
        <w:rPr>
          <w:color w:val="000000"/>
        </w:rPr>
        <w:t xml:space="preserve">” </w:t>
      </w:r>
      <w:r>
        <w:rPr>
          <w:rFonts w:ascii="Times New Roman;serif" w:hAnsi="Times New Roman;serif"/>
          <w:b w:val="false"/>
          <w:color w:val="000000"/>
          <w:sz w:val="20"/>
        </w:rPr>
        <w:t>means a full-time, part-time, or contract employee of the Company or any of its subsidiaries.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Family Members</w:t>
      </w:r>
      <w:r>
        <w:rPr>
          <w:color w:val="000000"/>
        </w:rPr>
        <w:t xml:space="preserve">” </w:t>
      </w:r>
      <w:r>
        <w:rPr>
          <w:rFonts w:ascii="Times New Roman;serif" w:hAnsi="Times New Roman;serif"/>
          <w:b w:val="false"/>
          <w:color w:val="000000"/>
          <w:sz w:val="20"/>
        </w:rPr>
        <w:t>means, with respect to any Board Member, Officer, Employee or Contractor: (a) such person’s spouse or domestic partner, children, stepchildren, grandchildren, parents, stepparents, grandparents, siblings and in-laws who reside in the same household; (b) such person’s children, or such person’s spouse’s or domestic partner’s children, who do not reside in the same household but are financially dependent on such person; (c) any other family member who does not reside in the same household but whose Trade in securities of the Company are directed by such person; and (d) any other person over whose account in Company securities such person has control and to whose financial support such person materially contributes.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Insider Trading</w:t>
      </w:r>
      <w:r>
        <w:rPr>
          <w:color w:val="000000"/>
        </w:rPr>
        <w:t xml:space="preserve">” </w:t>
      </w:r>
      <w:r>
        <w:rPr>
          <w:rFonts w:ascii="Times New Roman;serif" w:hAnsi="Times New Roman;serif"/>
          <w:b w:val="false"/>
          <w:color w:val="000000"/>
          <w:sz w:val="20"/>
        </w:rPr>
        <w:t xml:space="preserve">means (1) Trading in the securities of the Company, whether for such person’s own account or for the account of another, while in the possession of Material Non-Public Information about the Company, or (2) disclosing Material Non-Public Information about the Company to others who may Trade on the basis of that information.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Officer</w:t>
      </w:r>
      <w:r>
        <w:rPr>
          <w:color w:val="000000"/>
        </w:rPr>
        <w:t xml:space="preserve">” </w:t>
      </w:r>
      <w:r>
        <w:rPr>
          <w:rFonts w:ascii="Times New Roman;serif" w:hAnsi="Times New Roman;serif"/>
          <w:b w:val="false"/>
          <w:color w:val="000000"/>
          <w:sz w:val="20"/>
        </w:rPr>
        <w:t>means any person identified as an officer of the Company under applicable U.S. federal securities laws, including without limitation any person required to file reports under Section 16 of the Exchange Act.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Subsidiary</w:t>
      </w:r>
      <w:r>
        <w:rPr>
          <w:color w:val="000000"/>
        </w:rPr>
        <w:t xml:space="preserve">” </w:t>
      </w:r>
      <w:r>
        <w:rPr>
          <w:rFonts w:ascii="Times New Roman;serif" w:hAnsi="Times New Roman;serif"/>
          <w:b w:val="false"/>
          <w:color w:val="000000"/>
          <w:sz w:val="20"/>
        </w:rPr>
        <w:t>means any entity in which the Company owns, directly or indirectly, more than 50% of the outstanding voting securities or otherwise has the power to direct or cause the direction of the management and policies of such entity.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Tipping</w:t>
      </w:r>
      <w:r>
        <w:rPr>
          <w:color w:val="000000"/>
        </w:rPr>
        <w:t xml:space="preserve">” </w:t>
      </w:r>
      <w:r>
        <w:rPr>
          <w:rFonts w:ascii="Times New Roman;serif" w:hAnsi="Times New Roman;serif"/>
          <w:b w:val="false"/>
          <w:color w:val="000000"/>
          <w:sz w:val="20"/>
        </w:rPr>
        <w:t>means the disclosure of Material Non-Public Information to third parties outside the Company.</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2"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p>
                  </w:txbxContent>
                </v:textbox>
                <w10:wrap type="none"/>
              </v:rect>
            </w:pict>
          </mc:Fallback>
        </mc:AlternateContent>
      </w:r>
    </w:p>
    <w:p>
      <w:pPr>
        <w:pStyle w:val="TextBody"/>
        <w:bidi w:val="0"/>
        <w:spacing w:lineRule="auto" w:line="288" w:before="0" w:after="0"/>
        <w:jc w:val="both"/>
        <w:rPr/>
      </w:pPr>
      <w:r>
        <w:rPr>
          <w:color w:val="000000"/>
        </w:rPr>
        <w:t>“</w:t>
      </w:r>
      <w:r>
        <w:rPr>
          <w:rFonts w:ascii="Times New Roman;serif" w:hAnsi="Times New Roman;serif"/>
          <w:b/>
          <w:color w:val="000000"/>
          <w:sz w:val="20"/>
        </w:rPr>
        <w:t>Trade</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Trading</w:t>
      </w:r>
      <w:r>
        <w:rPr>
          <w:color w:val="000000"/>
        </w:rPr>
        <w:t xml:space="preserve">” </w:t>
      </w:r>
      <w:r>
        <w:rPr>
          <w:rFonts w:ascii="Times New Roman;serif" w:hAnsi="Times New Roman;serif"/>
          <w:b w:val="false"/>
          <w:color w:val="000000"/>
          <w:sz w:val="20"/>
        </w:rPr>
        <w:t>means any purchase or sale of, or other transaction in, securities of the Company, including: purchases and sales of Company securities on the open market; purchases and sales of options, puts and calls, and other derivative securities based on or referencing securities of the Company; gifts of Company securities; loans of Company securities; hedging transactions involving or referencing Company securities; contributions of Company securities to a trust or other entity; sales of Company securities acquired upon the exercise of stock options or settlement of equity awards; broker-assisted cashless exercises of stock options or stock appreciation rights; and market sales of Company securities for the purpose of generating cash to fund the exercise of stock options or other equity awards.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0"/>
        </w:rPr>
        <w:t>Trading Day</w:t>
      </w:r>
      <w:r>
        <w:rPr>
          <w:color w:val="000000"/>
        </w:rPr>
        <w:t xml:space="preserve">” </w:t>
      </w:r>
      <w:r>
        <w:rPr>
          <w:rFonts w:ascii="Times New Roman;serif" w:hAnsi="Times New Roman;serif"/>
          <w:b w:val="false"/>
          <w:color w:val="000000"/>
          <w:sz w:val="20"/>
        </w:rPr>
        <w:t xml:space="preserve">means any day on which Nasdaq is open for trading and on which the Trading in the Company’s securities is not halted or suspended. </w:t>
      </w:r>
    </w:p>
    <w:p>
      <w:pPr>
        <w:pStyle w:val="TextBody"/>
        <w:bidi w:val="0"/>
        <w:spacing w:lineRule="auto" w:line="288"/>
        <w:ind w:left="0" w:right="0" w:hanging="720"/>
        <w:jc w:val="center"/>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p>
                  </w:txbxContent>
                </v:textbox>
                <w10:wrap type="none"/>
              </v:rect>
            </w:pict>
          </mc:Fallback>
        </mc:AlternateContent>
      </w:r>
    </w:p>
    <w:p>
      <w:pPr>
        <w:pStyle w:val="TextBody"/>
        <w:bidi w:val="0"/>
        <w:spacing w:before="0" w:after="0"/>
        <w:ind w:left="0" w:right="0" w:hanging="720"/>
        <w:jc w:val="center"/>
        <w:rPr/>
      </w:pPr>
      <w:r>
        <w:rPr/>
      </w:r>
    </w:p>
    <w:p>
      <w:pPr>
        <w:pStyle w:val="TextBody"/>
        <w:bidi w:val="0"/>
        <w:spacing w:lineRule="auto" w:line="288"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SCHEDULE “B”</w:t>
      </w:r>
    </w:p>
    <w:p>
      <w:pPr>
        <w:pStyle w:val="TextBody"/>
        <w:bidi w:val="0"/>
        <w:spacing w:lineRule="auto" w:line="288"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Examples of Information That May Be Material</w:t>
      </w:r>
    </w:p>
    <w:p>
      <w:pPr>
        <w:pStyle w:val="TextBody"/>
        <w:bidi w:val="0"/>
        <w:spacing w:before="0" w:after="0"/>
        <w:ind w:left="0" w:right="0" w:hanging="720"/>
        <w:jc w:val="center"/>
        <w:rPr/>
      </w:pPr>
      <w:r>
        <w:rPr/>
      </w:r>
    </w:p>
    <w:p>
      <w:pPr>
        <w:pStyle w:val="TextBody"/>
        <w:bidi w:val="0"/>
        <w:spacing w:lineRule="auto" w:line="288" w:before="0" w:after="0"/>
        <w:ind w:left="0" w:right="0" w:hanging="720"/>
        <w:jc w:val="center"/>
        <w:rPr>
          <w:rFonts w:ascii="Times New Roman;serif" w:hAnsi="Times New Roman;serif"/>
          <w:b w:val="false"/>
          <w:color w:val="000000"/>
          <w:sz w:val="20"/>
        </w:rPr>
      </w:pPr>
      <w:r>
        <w:rPr>
          <w:rFonts w:ascii="Times New Roman;serif" w:hAnsi="Times New Roman;serif"/>
          <w:b w:val="false"/>
          <w:color w:val="000000"/>
          <w:sz w:val="20"/>
        </w:rPr>
        <w:t>(Based on Rule 10b-5 under the Exchange Act and SEC guidance thereunder)</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non-exhaustive list of examples of the types of information that may constitute Material Non-Public Information. No bright-line standard can address every situation that may arise, and any question as to whether particular information is material should be resolved in favor of materiality and Trading should be avoided until the question is resolved.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Changes in corporate structure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share ownership that may affect control of the company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corporate structure such as major reorganizations or mergers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tender offers or going-private transactions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financial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projections of future earnings or losses, or other earnings guidance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significant increase or decrease in near-term earnings prospects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unexpected changes in the financial results for any period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restatements of the Company’s financial statements, changes in auditors, or auditor notification that the Company may no longer rely on an auditor’s audit report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shifts in financial circumstances, such as cash flow reductions, major asset write-offs or write-downs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value or composition of the Company’s assets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material change in the Company’s accounting policies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Changes in capital structure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public or private sale of additional securities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planned repurchases or redemptions of securities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planned splits of common shares or offerings of warrants or rights to buy shares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share consolidation, share exchange, or stock dividend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a Company’s dividend payments or policies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possible initiation of a proxy fight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material modifications to the rights of security holders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Changes in business and operations </w:t>
      </w:r>
    </w:p>
    <w:p>
      <w:pPr>
        <w:pStyle w:val="TextBody"/>
        <w:bidi w:val="0"/>
        <w:ind w:left="0" w:right="0" w:hanging="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4"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significant development that affects the Company’s resources, technology, products or markets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significant change in capital investment plans or corporate objectives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major labor disputes or disputes with major contractors or suppliers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significant new contracts, products, patents, or services or significant losses of contracts or business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to the Board of Directors or executive management, including the departure of the Company’s CEO, CFO, CTO or COO (or persons in equivalent positions)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commencement of, or developments in, material legal proceedings or regulatory matters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waivers of corporate ethics and conduct rules for officers, directors, and other key employees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notice that reliance on a prior audit is no longer permissible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de-listing of the Company’s securities from Nasdaq or transfer to another exchange or quotation system</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Acquisitions and dispositions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significant acquisitions or dispositions of assets, property or joint venture interests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acquisitions of other companies, including a tender offer for, or merger with, another company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Changes in credit arrangements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borrowing or lending of a significant amount of money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mortgaging or encumbering of the Company’s assets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defaults under debt obligations, agreements to restructure debt, or planned enforcement procedures by a bank or any other creditors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rating agency decisions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significant new credit arrangements </w:t>
      </w:r>
    </w:p>
    <w:p>
      <w:pPr>
        <w:pStyle w:val="TextBody"/>
        <w:bidi w:val="0"/>
        <w:ind w:left="0" w:right="0" w:firstLine="5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5"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724886641v6</w:t>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180" w:after="283"/>
        <w:jc w:val="left"/>
        <w:rPr/>
      </w:pPr>
      <w:r>
        <w:rPr>
          <w:rFonts w:ascii="Times New Roman;serif" w:hAnsi="Times New Roman;serif"/>
          <w:b w:val="false"/>
          <w:color w:val="000000"/>
          <w:sz w:val="20"/>
        </w:rPr>
        <w:t xml:space="preserve">I, Joel Block, Chief Executive Officer of Sphere 3D Corp. certify that: </w:t>
      </w:r>
      <w:r>
        <w:rPr>
          <w:color w:val="000000"/>
        </w:rPr>
        <w:t> </w:t>
      </w:r>
    </w:p>
    <w:tbl>
      <w:tblPr>
        <w:tblW w:w="6236" w:type="dxa"/>
        <w:jc w:val="left"/>
        <w:tblInd w:w="0" w:type="dxa"/>
        <w:tblLayout w:type="fixed"/>
        <w:tblCellMar>
          <w:top w:w="28" w:type="dxa"/>
          <w:left w:w="28" w:type="dxa"/>
          <w:bottom w:w="28" w:type="dxa"/>
          <w:right w:w="28" w:type="dxa"/>
        </w:tblCellMar>
      </w:tblPr>
      <w:tblGrid>
        <w:gridCol w:w="124"/>
        <w:gridCol w:w="109"/>
        <w:gridCol w:w="109"/>
        <w:gridCol w:w="1723"/>
        <w:gridCol w:w="1723"/>
        <w:gridCol w:w="24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Sphere 3D Corp.;</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14, 2026 </w:t>
      </w:r>
    </w:p>
    <w:tbl>
      <w:tblPr>
        <w:tblW w:w="2086" w:type="dxa"/>
        <w:jc w:val="left"/>
        <w:tblInd w:w="0" w:type="dxa"/>
        <w:tblLayout w:type="fixed"/>
        <w:tblCellMar>
          <w:top w:w="28" w:type="dxa"/>
          <w:left w:w="28" w:type="dxa"/>
          <w:bottom w:w="28" w:type="dxa"/>
          <w:right w:w="28" w:type="dxa"/>
        </w:tblCellMar>
      </w:tblPr>
      <w:tblGrid>
        <w:gridCol w:w="666"/>
        <w:gridCol w:w="586"/>
        <w:gridCol w:w="834"/>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rFonts w:ascii="Times New Roman;serif" w:hAnsi="Times New Roman;serif"/>
                <w:b w:val="false"/>
                <w:i/>
                <w:color w:val="000000"/>
                <w:sz w:val="20"/>
              </w:rPr>
              <w:t>Joel Block</w:t>
            </w:r>
          </w:p>
        </w:tc>
      </w:tr>
      <w:tr>
        <w:trPr/>
        <w:tc>
          <w:tcPr>
            <w:tcW w:w="2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20"/>
              </w:rPr>
            </w:pPr>
            <w:r>
              <w:rPr>
                <w:rFonts w:ascii="Times New Roman;serif" w:hAnsi="Times New Roman;serif"/>
                <w:b w:val="false"/>
                <w:color w:val="000000"/>
                <w:sz w:val="20"/>
              </w:rPr>
              <w:t>Joel Block</w:t>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180" w:after="283"/>
        <w:jc w:val="left"/>
        <w:rPr/>
      </w:pPr>
      <w:r>
        <w:rPr>
          <w:rFonts w:ascii="Times New Roman;serif" w:hAnsi="Times New Roman;serif"/>
          <w:b w:val="false"/>
          <w:color w:val="000000"/>
          <w:sz w:val="20"/>
        </w:rPr>
        <w:t xml:space="preserve">I, Kurt L. Kalbfleisch, Chief Financial Officer of Sphere 3D Corp. certify that: </w:t>
      </w:r>
      <w:r>
        <w:rPr>
          <w:color w:val="000000"/>
        </w:rPr>
        <w:t> </w:t>
      </w:r>
    </w:p>
    <w:tbl>
      <w:tblPr>
        <w:tblW w:w="6236" w:type="dxa"/>
        <w:jc w:val="left"/>
        <w:tblInd w:w="0" w:type="dxa"/>
        <w:tblLayout w:type="fixed"/>
        <w:tblCellMar>
          <w:top w:w="28" w:type="dxa"/>
          <w:left w:w="28" w:type="dxa"/>
          <w:bottom w:w="28" w:type="dxa"/>
          <w:right w:w="28" w:type="dxa"/>
        </w:tblCellMar>
      </w:tblPr>
      <w:tblGrid>
        <w:gridCol w:w="124"/>
        <w:gridCol w:w="109"/>
        <w:gridCol w:w="109"/>
        <w:gridCol w:w="1723"/>
        <w:gridCol w:w="1723"/>
        <w:gridCol w:w="24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Sphere 3D Corp.;</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14, 2026 </w:t>
      </w:r>
    </w:p>
    <w:tbl>
      <w:tblPr>
        <w:tblW w:w="2026" w:type="dxa"/>
        <w:jc w:val="left"/>
        <w:tblInd w:w="0" w:type="dxa"/>
        <w:tblLayout w:type="fixed"/>
        <w:tblCellMar>
          <w:top w:w="28" w:type="dxa"/>
          <w:left w:w="28" w:type="dxa"/>
          <w:bottom w:w="28" w:type="dxa"/>
          <w:right w:w="28" w:type="dxa"/>
        </w:tblCellMar>
      </w:tblPr>
      <w:tblGrid>
        <w:gridCol w:w="647"/>
        <w:gridCol w:w="568"/>
        <w:gridCol w:w="811"/>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rFonts w:ascii="Times New Roman;serif" w:hAnsi="Times New Roman;serif"/>
                <w:b w:val="false"/>
                <w:i/>
                <w:color w:val="000000"/>
                <w:sz w:val="20"/>
              </w:rPr>
              <w:t>Kurt L. Kalbfleisch</w:t>
            </w:r>
          </w:p>
        </w:tc>
      </w:tr>
      <w:tr>
        <w:trPr/>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Kurt L. Kalbfleisch</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5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Sphere 3D Corp. (the “Registrant”) on Form 10-Q for the quarterly period ended June 30, 2026, as filed with the Securities and Exchange Commission on the date hereof (the “Report”), I, Joel Block, Chief Executive Officer of the Registrant, certify pursuant to 18 U.S.C. § 1350, as adopted pursuant to § 906 of the Sarbanes-Oxley Act of 2002, that, to my knowledge: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Section 15(d) of the Securities Exchange Act of 1934 (15 U.S.C. 78m);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Registrant.</w:t>
            </w:r>
          </w:p>
        </w:tc>
      </w:tr>
    </w:tbl>
    <w:p>
      <w:pPr>
        <w:pStyle w:val="TextBody"/>
        <w:bidi w:val="0"/>
        <w:spacing w:before="0" w:after="0"/>
        <w:ind w:left="0" w:right="0" w:firstLine="540"/>
        <w:jc w:val="center"/>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bl>
      <w:tblPr>
        <w:tblW w:w="2085" w:type="dxa"/>
        <w:jc w:val="center"/>
        <w:tblInd w:w="0" w:type="dxa"/>
        <w:tblLayout w:type="fixed"/>
        <w:tblCellMar>
          <w:top w:w="28" w:type="dxa"/>
          <w:left w:w="28" w:type="dxa"/>
          <w:bottom w:w="28" w:type="dxa"/>
          <w:right w:w="28" w:type="dxa"/>
        </w:tblCellMar>
      </w:tblPr>
      <w:tblGrid>
        <w:gridCol w:w="666"/>
        <w:gridCol w:w="586"/>
        <w:gridCol w:w="833"/>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rFonts w:ascii="Times New Roman;serif" w:hAnsi="Times New Roman;serif"/>
                <w:b w:val="false"/>
                <w:i/>
                <w:color w:val="000000"/>
                <w:sz w:val="20"/>
              </w:rPr>
              <w:t>Joel Block</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Joel Block</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80" w:after="283"/>
        <w:ind w:left="0" w:right="0" w:firstLine="540"/>
        <w:jc w:val="both"/>
        <w:rPr/>
      </w:pPr>
      <w:r>
        <w:rPr/>
      </w:r>
    </w:p>
    <w:p>
      <w:pPr>
        <w:pStyle w:val="TextBody"/>
        <w:bidi w:val="0"/>
        <w:spacing w:before="120" w:after="283"/>
        <w:ind w:left="0" w:right="0" w:firstLine="540"/>
        <w:jc w:val="left"/>
        <w:rPr/>
      </w:pPr>
      <w:r>
        <w:rPr/>
      </w:r>
    </w:p>
    <w:p>
      <w:pPr>
        <w:pStyle w:val="TextBody"/>
        <w:bidi w:val="0"/>
        <w:spacing w:before="100" w:after="100"/>
        <w:jc w:val="right"/>
        <w:rPr/>
      </w:pPr>
      <w:r>
        <w:rPr/>
      </w:r>
    </w:p>
    <w:p>
      <w:pPr>
        <w:pStyle w:val="TextBody"/>
        <w:bidi w:val="0"/>
        <w:spacing w:before="120" w:after="283"/>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51460"/>
                <wp:effectExtent l="0" t="0" r="0" b="0"/>
                <wp:wrapNone/>
                <wp:docPr id="58" name="Frame5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540"/>
                        <w:jc w:val="left"/>
                        <w:rPr/>
                      </w:pPr>
                      <w:r>
                        <w:rPr/>
                      </w:r>
                    </w:p>
                  </w:txbxContent>
                </v:textbox>
                <w10:wrap type="none"/>
              </v:rect>
            </w:pict>
          </mc:Fallback>
        </mc:AlternateContent>
      </w:r>
    </w:p>
    <w:p>
      <w:pPr>
        <w:pStyle w:val="TextBody"/>
        <w:bidi w:val="0"/>
        <w:spacing w:lineRule="auto" w:line="288" w:before="1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Sphere 3D Corp. (the “Registrant”) on Form 10-Q for the quarterly period ended June 30, 2026, as filed with the Securities and Exchange Commission on the date hereof (the “Report”), I, Kurt L. Kalbfleisch, Chief Financial Officer of the Registrant, certify pursuant to 18 U.S.C. § 1350, as adopted pursuant to § 906 of the Sarbanes-Oxley Act of 2002, that, to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Section 15(d) of the Securities Exchange Act of 1934 (15 U.S.C. 78m);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Registrant.</w:t>
            </w:r>
          </w:p>
        </w:tc>
      </w:tr>
    </w:tbl>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bl>
      <w:tblPr>
        <w:tblW w:w="2025" w:type="dxa"/>
        <w:jc w:val="center"/>
        <w:tblInd w:w="0" w:type="dxa"/>
        <w:tblLayout w:type="fixed"/>
        <w:tblCellMar>
          <w:top w:w="28" w:type="dxa"/>
          <w:left w:w="28" w:type="dxa"/>
          <w:bottom w:w="28" w:type="dxa"/>
          <w:right w:w="28" w:type="dxa"/>
        </w:tblCellMar>
      </w:tblPr>
      <w:tblGrid>
        <w:gridCol w:w="647"/>
        <w:gridCol w:w="569"/>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rFonts w:ascii="Times New Roman;serif" w:hAnsi="Times New Roman;serif"/>
                <w:b w:val="false"/>
                <w:i/>
                <w:color w:val="000000"/>
                <w:sz w:val="20"/>
              </w:rPr>
              <w:t>Kurt L. Kalbfleisch</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Kurt L. Kalbfleisch</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1956/000106299326001384/exhibit2-1.htm" TargetMode="External"/><Relationship Id="rId3" Type="http://schemas.openxmlformats.org/officeDocument/2006/relationships/hyperlink" Target="https://www.sec.gov/Archives/edgar/data/1591956/000119312515105058/d897095dex993.htm" TargetMode="External"/><Relationship Id="rId4" Type="http://schemas.openxmlformats.org/officeDocument/2006/relationships/hyperlink" Target="https://www.sec.gov/Archives/edgar/data/1591956/000106299317003260/exhibit99-1.htm" TargetMode="External"/><Relationship Id="rId5" Type="http://schemas.openxmlformats.org/officeDocument/2006/relationships/hyperlink" Target="https://www.sec.gov/Archives/edgar/data/1591956/000106299318003956/exhibit3-1.htm" TargetMode="External"/><Relationship Id="rId6" Type="http://schemas.openxmlformats.org/officeDocument/2006/relationships/hyperlink" Target="https://www.sec.gov/Archives/edgar/data/1591956/000106299318004366/exhibit3-1.htm" TargetMode="External"/><Relationship Id="rId7" Type="http://schemas.openxmlformats.org/officeDocument/2006/relationships/hyperlink" Target="https://www.sec.gov/Archives/edgar/data/1591956/000106299318004583/exhibit3-1.htm" TargetMode="External"/><Relationship Id="rId8" Type="http://schemas.openxmlformats.org/officeDocument/2006/relationships/hyperlink" Target="https://www.sec.gov/Archives/edgar/data/1591956/000106299319002894/exhibit3-1.htm" TargetMode="External"/><Relationship Id="rId9" Type="http://schemas.openxmlformats.org/officeDocument/2006/relationships/hyperlink" Target="https://www.sec.gov/Archives/edgar/data/1591956/000106299319004258/exhibit3-1.htm" TargetMode="External"/><Relationship Id="rId10" Type="http://schemas.openxmlformats.org/officeDocument/2006/relationships/hyperlink" Target="https://www.sec.gov/Archives/edgar/data/1591956/000106299320002195/exhibit3-1.htm" TargetMode="External"/><Relationship Id="rId11" Type="http://schemas.openxmlformats.org/officeDocument/2006/relationships/hyperlink" Target="https://www.sec.gov/Archives/edgar/data/1591956/000106299320004681/exhibit3-1.htm" TargetMode="External"/><Relationship Id="rId12" Type="http://schemas.openxmlformats.org/officeDocument/2006/relationships/hyperlink" Target="https://www.sec.gov/Archives/edgar/data/1591956/000106299321000191/exhibit99-3.htm" TargetMode="External"/><Relationship Id="rId13" Type="http://schemas.openxmlformats.org/officeDocument/2006/relationships/hyperlink" Target="https://www.sec.gov/Archives/edgar/data/1591956/000106299321006541/exhibit99-4.htm" TargetMode="External"/><Relationship Id="rId14" Type="http://schemas.openxmlformats.org/officeDocument/2006/relationships/hyperlink" Target="https://www.sec.gov/Archives/edgar/data/1591956/000106299321009213/exhibit99-3.htm" TargetMode="External"/><Relationship Id="rId15" Type="http://schemas.openxmlformats.org/officeDocument/2006/relationships/hyperlink" Target="https://www.sec.gov/Archives/edgar/data/1591956/000106299323014107/exhibit3-1.htm" TargetMode="External"/><Relationship Id="rId16" Type="http://schemas.openxmlformats.org/officeDocument/2006/relationships/hyperlink" Target="https://www.sec.gov/Archives/edgar/data/1591956/000106299326000850/exhibit3-1.htm" TargetMode="External"/><Relationship Id="rId17" Type="http://schemas.openxmlformats.org/officeDocument/2006/relationships/hyperlink" Target="https://www.sec.gov/Archives/edgar/data/1591956/000106299326003037/exhibit3-1.htm" TargetMode="External"/><Relationship Id="rId18" Type="http://schemas.openxmlformats.org/officeDocument/2006/relationships/hyperlink" Target="https://www.sec.gov/Archives/edgar/data/1591956/000106299317003260/exhibit99-3.htm" TargetMode="External"/><Relationship Id="rId19" Type="http://schemas.openxmlformats.org/officeDocument/2006/relationships/hyperlink" Target="https://www.sec.gov/Archives/edgar/data/1591956/000106299322001880/exhibit99-1.htm" TargetMode="External"/><Relationship Id="rId20" Type="http://schemas.openxmlformats.org/officeDocument/2006/relationships/hyperlink" Target="https://www.sec.gov/Archives/edgar/data/1591956/000106299323000912/exhibit3-1.htm" TargetMode="External"/><Relationship Id="rId21" Type="http://schemas.openxmlformats.org/officeDocument/2006/relationships/hyperlink" Target="https://www.sec.gov/Archives/edgar/data/1591956/000106299317002431/exhibit99-1.htm" TargetMode="External"/><Relationship Id="rId22" Type="http://schemas.openxmlformats.org/officeDocument/2006/relationships/hyperlink" Target="https://www.sec.gov/ix?doc=/Archives/edgar/data/1591956/000118518526001404/sphere3ddefm14a040226.htm" TargetMode="External"/><Relationship Id="rId23" Type="http://schemas.openxmlformats.org/officeDocument/2006/relationships/hyperlink" Target="https://www.sec.gov/Archives/edgar/data/1591956/000106299326003037/exhibit10-1.htm" TargetMode="External"/><Relationship Id="rId24" Type="http://schemas.openxmlformats.org/officeDocument/2006/relationships/hyperlink" Target="https://www.sec.gov/Archives/edgar/data/1591956/000106299326003037/exhibit10-2.htm" TargetMode="External"/><Relationship Id="rId25" Type="http://schemas.openxmlformats.org/officeDocument/2006/relationships/hyperlink" Target="https://www.sec.gov/Archives/edgar/data/1591956/000106299326003037/exhibit10-3.htm" TargetMode="External"/><Relationship Id="rId26" Type="http://schemas.openxmlformats.org/officeDocument/2006/relationships/hyperlink" Target="https://www.sec.gov/Archives/edgar/data/1591956/000106299326003037/exhibit10-4.htm" TargetMode="External"/><Relationship Id="rId27" Type="http://schemas.openxmlformats.org/officeDocument/2006/relationships/hyperlink" Target="https://www.sec.gov/Archives/edgar/data/1591956/000106299326003037/exhibit10-5.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27931</Words>
  <Characters>154220</Characters>
  <CharactersWithSpaces>181093</CharactersWithSpaces>
  <Paragraphs>2115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