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6995160" cy="5525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5525770"/>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Kalbfleisch Kurt L.</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SPHERE 3D CORP.</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243 TRESSER BLVD., 17TH FLOOR</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Sphere 3D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ANY</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06/01/2026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985"/>
        <w:spacing w:after="0"/>
        <w:rPr>
          <w:sz w:val="20"/>
          <w:szCs w:val="20"/>
          <w:color w:val="auto"/>
        </w:rPr>
      </w:pPr>
      <w:r>
        <w:rPr>
          <w:rFonts w:ascii="Times New Roman" w:cs="Times New Roman" w:eastAsia="Times New Roman" w:hAnsi="Times New Roman"/>
          <w:sz w:val="17"/>
          <w:szCs w:val="17"/>
          <w:color w:val="0000FF"/>
        </w:rPr>
        <w:t>CFO and Director</w:t>
      </w:r>
    </w:p>
    <w:p>
      <w:pPr>
        <w:spacing w:after="0" w:line="402"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p>
      <w:pPr>
        <w:spacing w:after="0" w:line="203"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CT</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06901</w:t>
            </w:r>
          </w:p>
        </w:tc>
      </w:tr>
      <w:tr>
        <w:trPr>
          <w:trHeight w:val="146"/>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59" w:lineRule="exact"/>
        <w:rPr>
          <w:sz w:val="24"/>
          <w:szCs w:val="24"/>
          <w:color w:val="auto"/>
        </w:rPr>
      </w:pPr>
    </w:p>
    <w:p>
      <w:pPr>
        <w:sectPr>
          <w:pgSz w:w="11900" w:h="16838" w:orient="portrait"/>
          <w:cols w:equalWidth="0" w:num="2">
            <w:col w:w="3760" w:space="14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6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76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020" w:type="dxa"/>
            <w:vAlign w:val="bottom"/>
            <w:gridSpan w:val="5"/>
          </w:tcPr>
          <w:p>
            <w:pPr>
              <w:ind w:left="120"/>
              <w:spacing w:after="0"/>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0" w:type="dxa"/>
            <w:vAlign w:val="bottom"/>
            <w:gridSpan w:val="2"/>
          </w:tcPr>
          <w:p>
            <w:pPr>
              <w:ind w:left="760"/>
              <w:spacing w:after="0"/>
              <w:rPr>
                <w:sz w:val="20"/>
                <w:szCs w:val="20"/>
                <w:color w:val="auto"/>
              </w:rPr>
            </w:pPr>
            <w:r>
              <w:rPr>
                <w:rFonts w:ascii="Arial" w:cs="Arial" w:eastAsia="Arial" w:hAnsi="Arial"/>
                <w:sz w:val="11"/>
                <w:szCs w:val="11"/>
                <w:b w:val="1"/>
                <w:bCs w:val="1"/>
                <w:color w:val="auto"/>
              </w:rPr>
              <w:t>(Month/Day/Year)</w:t>
            </w: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520" w:type="dxa"/>
            <w:vAlign w:val="bottom"/>
          </w:tcPr>
          <w:p>
            <w:pPr>
              <w:ind w:left="140"/>
              <w:spacing w:after="0"/>
              <w:rPr>
                <w:sz w:val="20"/>
                <w:szCs w:val="20"/>
                <w:color w:val="auto"/>
              </w:rPr>
            </w:pPr>
            <w:r>
              <w:rPr>
                <w:rFonts w:ascii="Arial" w:cs="Arial" w:eastAsia="Arial" w:hAnsi="Arial"/>
                <w:sz w:val="11"/>
                <w:szCs w:val="11"/>
                <w:b w:val="1"/>
                <w:bCs w:val="1"/>
                <w:color w:val="auto"/>
              </w:rPr>
              <w:t>(A) or</w:t>
            </w:r>
          </w:p>
        </w:tc>
        <w:tc>
          <w:tcPr>
            <w:tcW w:w="68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vMerge w:val="restart"/>
          </w:tcPr>
          <w:p>
            <w:pPr>
              <w:jc w:val="right"/>
              <w:ind w:right="149"/>
              <w:spacing w:after="0"/>
              <w:rPr>
                <w:sz w:val="20"/>
                <w:szCs w:val="20"/>
                <w:color w:val="auto"/>
              </w:rPr>
            </w:pPr>
            <w:r>
              <w:rPr>
                <w:rFonts w:ascii="Arial" w:cs="Arial" w:eastAsia="Arial" w:hAnsi="Arial"/>
                <w:sz w:val="11"/>
                <w:szCs w:val="11"/>
                <w:b w:val="1"/>
                <w:bCs w:val="1"/>
                <w:color w:val="auto"/>
              </w:rPr>
              <w:t>(D)</w:t>
            </w:r>
          </w:p>
        </w:tc>
        <w:tc>
          <w:tcPr>
            <w:tcW w:w="68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2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06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40"/>
              <w:spacing w:after="0"/>
              <w:rPr>
                <w:sz w:val="20"/>
                <w:szCs w:val="20"/>
                <w:color w:val="auto"/>
              </w:rPr>
            </w:pPr>
            <w:r>
              <w:rPr>
                <w:rFonts w:ascii="Times New Roman" w:cs="Times New Roman" w:eastAsia="Times New Roman" w:hAnsi="Times New Roman"/>
                <w:sz w:val="17"/>
                <w:szCs w:val="17"/>
                <w:color w:val="0000FF"/>
              </w:rPr>
              <w:t>06/01/2026</w:t>
            </w: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0"/>
              <w:spacing w:after="0"/>
              <w:rPr>
                <w:sz w:val="20"/>
                <w:szCs w:val="20"/>
                <w:color w:val="auto"/>
              </w:rPr>
            </w:pPr>
            <w:r>
              <w:rPr>
                <w:rFonts w:ascii="Times New Roman" w:cs="Times New Roman" w:eastAsia="Times New Roman" w:hAnsi="Times New Roman"/>
                <w:sz w:val="13"/>
                <w:szCs w:val="13"/>
                <w:color w:val="0000FF"/>
              </w:rPr>
              <w:t>M</w:t>
            </w:r>
          </w:p>
        </w:tc>
        <w:tc>
          <w:tcPr>
            <w:tcW w:w="820" w:type="dxa"/>
            <w:vAlign w:val="bottom"/>
            <w:tcBorders>
              <w:bottom w:val="single" w:sz="8" w:color="2C2C2C"/>
            </w:tcBorders>
            <w:gridSpan w:val="2"/>
          </w:tcPr>
          <w:p>
            <w:pPr>
              <w:jc w:val="center"/>
              <w:ind w:left="54"/>
              <w:spacing w:after="0"/>
              <w:rPr>
                <w:sz w:val="20"/>
                <w:szCs w:val="20"/>
                <w:color w:val="auto"/>
              </w:rPr>
            </w:pPr>
            <w:r>
              <w:rPr>
                <w:rFonts w:ascii="Times New Roman" w:cs="Times New Roman" w:eastAsia="Times New Roman" w:hAnsi="Times New Roman"/>
                <w:sz w:val="17"/>
                <w:szCs w:val="17"/>
                <w:color w:val="0000FF"/>
                <w:w w:val="92"/>
              </w:rPr>
              <w:t>159,375</w:t>
            </w:r>
            <w:r>
              <w:rPr>
                <w:rFonts w:ascii="Times New Roman" w:cs="Times New Roman" w:eastAsia="Times New Roman" w:hAnsi="Times New Roman"/>
                <w:sz w:val="21"/>
                <w:szCs w:val="21"/>
                <w:color w:val="008000"/>
                <w:w w:val="92"/>
                <w:vertAlign w:val="superscript"/>
              </w:rPr>
              <w:t>(1)</w:t>
            </w:r>
          </w:p>
        </w:tc>
        <w:tc>
          <w:tcPr>
            <w:tcW w:w="5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center"/>
              <w:ind w:left="95"/>
              <w:spacing w:after="0" w:line="305"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(1)</w:t>
            </w: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232,815</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r>
              <w:rPr>
                <w:rFonts w:ascii="Times New Roman" w:cs="Times New Roman" w:eastAsia="Times New Roman" w:hAnsi="Times New Roman"/>
                <w:sz w:val="21"/>
                <w:szCs w:val="21"/>
                <w:color w:val="008000"/>
                <w:vertAlign w:val="superscript"/>
              </w:rPr>
              <w:t>(2)</w:t>
            </w:r>
          </w:p>
        </w:tc>
        <w:tc>
          <w:tcPr>
            <w:tcW w:w="106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40"/>
              <w:spacing w:after="0"/>
              <w:rPr>
                <w:sz w:val="20"/>
                <w:szCs w:val="20"/>
                <w:color w:val="auto"/>
              </w:rPr>
            </w:pPr>
            <w:r>
              <w:rPr>
                <w:rFonts w:ascii="Times New Roman" w:cs="Times New Roman" w:eastAsia="Times New Roman" w:hAnsi="Times New Roman"/>
                <w:sz w:val="17"/>
                <w:szCs w:val="17"/>
                <w:color w:val="0000FF"/>
              </w:rPr>
              <w:t>06/01/2026</w:t>
            </w: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jc w:val="center"/>
              <w:ind w:left="154"/>
              <w:spacing w:after="0"/>
              <w:rPr>
                <w:sz w:val="20"/>
                <w:szCs w:val="20"/>
                <w:color w:val="auto"/>
              </w:rPr>
            </w:pPr>
            <w:r>
              <w:rPr>
                <w:rFonts w:ascii="Times New Roman" w:cs="Times New Roman" w:eastAsia="Times New Roman" w:hAnsi="Times New Roman"/>
                <w:sz w:val="17"/>
                <w:szCs w:val="17"/>
                <w:color w:val="0000FF"/>
                <w:w w:val="98"/>
              </w:rPr>
              <w:t>50,000</w:t>
            </w:r>
          </w:p>
        </w:tc>
        <w:tc>
          <w:tcPr>
            <w:tcW w:w="1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2"/>
          </w:tcPr>
          <w:p>
            <w:pPr>
              <w:jc w:val="center"/>
              <w:ind w:left="35"/>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3.0599</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182,815</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r>
              <w:rPr>
                <w:rFonts w:ascii="Times New Roman" w:cs="Times New Roman" w:eastAsia="Times New Roman" w:hAnsi="Times New Roman"/>
                <w:sz w:val="21"/>
                <w:szCs w:val="21"/>
                <w:color w:val="008000"/>
                <w:vertAlign w:val="superscript"/>
              </w:rPr>
              <w:t>(2)</w:t>
            </w:r>
          </w:p>
        </w:tc>
        <w:tc>
          <w:tcPr>
            <w:tcW w:w="106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40"/>
              <w:spacing w:after="0"/>
              <w:rPr>
                <w:sz w:val="20"/>
                <w:szCs w:val="20"/>
                <w:color w:val="auto"/>
              </w:rPr>
            </w:pPr>
            <w:r>
              <w:rPr>
                <w:rFonts w:ascii="Times New Roman" w:cs="Times New Roman" w:eastAsia="Times New Roman" w:hAnsi="Times New Roman"/>
                <w:sz w:val="17"/>
                <w:szCs w:val="17"/>
                <w:color w:val="0000FF"/>
              </w:rPr>
              <w:t>06/01/2026</w:t>
            </w: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jc w:val="center"/>
              <w:ind w:left="154"/>
              <w:spacing w:after="0"/>
              <w:rPr>
                <w:sz w:val="20"/>
                <w:szCs w:val="20"/>
                <w:color w:val="auto"/>
              </w:rPr>
            </w:pPr>
            <w:r>
              <w:rPr>
                <w:rFonts w:ascii="Times New Roman" w:cs="Times New Roman" w:eastAsia="Times New Roman" w:hAnsi="Times New Roman"/>
                <w:sz w:val="17"/>
                <w:szCs w:val="17"/>
                <w:color w:val="0000FF"/>
                <w:w w:val="99"/>
              </w:rPr>
              <w:t>7,000</w:t>
            </w:r>
          </w:p>
        </w:tc>
        <w:tc>
          <w:tcPr>
            <w:tcW w:w="1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2"/>
          </w:tcPr>
          <w:p>
            <w:pPr>
              <w:jc w:val="center"/>
              <w:ind w:left="35"/>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4.1473</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175,815</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215</w:t>
            </w:r>
          </w:p>
        </w:tc>
        <w:tc>
          <w:tcPr>
            <w:tcW w:w="30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Daughter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0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215</w:t>
            </w:r>
          </w:p>
        </w:tc>
        <w:tc>
          <w:tcPr>
            <w:tcW w:w="300" w:type="dxa"/>
            <w:vAlign w:val="bottom"/>
          </w:tcPr>
          <w:p>
            <w:pPr>
              <w:spacing w:after="0"/>
              <w:rPr>
                <w:sz w:val="22"/>
                <w:szCs w:val="22"/>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Son</w:t>
            </w: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820" w:type="dxa"/>
            <w:vAlign w:val="bottom"/>
            <w:tcBorders>
              <w:bottom w:val="single" w:sz="8" w:color="2C2C2C"/>
            </w:tcBorders>
            <w:gridSpan w:val="4"/>
          </w:tcPr>
          <w:p>
            <w:pPr>
              <w:spacing w:after="0"/>
              <w:rPr>
                <w:sz w:val="8"/>
                <w:szCs w:val="8"/>
                <w:color w:val="auto"/>
              </w:rPr>
            </w:pPr>
          </w:p>
        </w:tc>
        <w:tc>
          <w:tcPr>
            <w:tcW w:w="2680" w:type="dxa"/>
            <w:vAlign w:val="bottom"/>
            <w:tcBorders>
              <w:bottom w:val="single" w:sz="8" w:color="2C2C2C"/>
            </w:tcBorders>
            <w:gridSpan w:val="5"/>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2"/>
          </w:tcPr>
          <w:p>
            <w:pPr>
              <w:jc w:val="center"/>
              <w:ind w:right="14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60" w:type="dxa"/>
            <w:vAlign w:val="bottom"/>
            <w:gridSpan w:val="10"/>
          </w:tcPr>
          <w:p>
            <w:pPr>
              <w:jc w:val="center"/>
              <w:ind w:left="412"/>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4"/>
          </w:tcPr>
          <w:p>
            <w:pPr>
              <w:ind w:left="2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Securities</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4"/>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4"/>
          </w:tcPr>
          <w:p>
            <w:pPr>
              <w:ind w:left="20"/>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159,375</w:t>
            </w:r>
          </w:p>
        </w:tc>
        <w:tc>
          <w:tcPr>
            <w:tcW w:w="60" w:type="dxa"/>
            <w:vAlign w:val="bottom"/>
          </w:tcPr>
          <w:p>
            <w:pPr>
              <w:spacing w:after="0"/>
              <w:rPr>
                <w:sz w:val="15"/>
                <w:szCs w:val="15"/>
                <w:color w:val="auto"/>
              </w:rPr>
            </w:pPr>
          </w:p>
        </w:tc>
        <w:tc>
          <w:tcPr>
            <w:tcW w:w="6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1"/>
                <w:szCs w:val="11"/>
                <w:color w:val="008000"/>
              </w:rPr>
              <w:t>(1)</w:t>
            </w:r>
          </w:p>
        </w:tc>
        <w:tc>
          <w:tcPr>
            <w:tcW w:w="8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color w:val="0000FF"/>
              </w:rPr>
              <w:t>60,937</w:t>
            </w:r>
            <w:r>
              <w:rPr>
                <w:rFonts w:ascii="Times New Roman" w:cs="Times New Roman" w:eastAsia="Times New Roman" w:hAnsi="Times New Roman"/>
                <w:sz w:val="21"/>
                <w:szCs w:val="21"/>
                <w:color w:val="008000"/>
                <w:vertAlign w:val="superscript"/>
              </w:rPr>
              <w:t>(3)</w:t>
            </w: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 Unit</w:t>
            </w:r>
          </w:p>
        </w:tc>
        <w:tc>
          <w:tcPr>
            <w:tcW w:w="760" w:type="dxa"/>
            <w:vAlign w:val="bottom"/>
            <w:vMerge w:val="continue"/>
          </w:tcPr>
          <w:p>
            <w:pPr>
              <w:spacing w:after="0"/>
              <w:rPr>
                <w:sz w:val="12"/>
                <w:szCs w:val="12"/>
                <w:color w:val="auto"/>
              </w:rPr>
            </w:pPr>
          </w:p>
        </w:tc>
        <w:tc>
          <w:tcPr>
            <w:tcW w:w="1060" w:type="dxa"/>
            <w:vAlign w:val="bottom"/>
          </w:tcPr>
          <w:p>
            <w:pPr>
              <w:jc w:val="right"/>
              <w:ind w:right="181"/>
              <w:spacing w:after="0" w:line="140" w:lineRule="exact"/>
              <w:rPr>
                <w:sz w:val="20"/>
                <w:szCs w:val="20"/>
                <w:color w:val="auto"/>
              </w:rPr>
            </w:pPr>
            <w:r>
              <w:rPr>
                <w:rFonts w:ascii="Times New Roman" w:cs="Times New Roman" w:eastAsia="Times New Roman" w:hAnsi="Times New Roman"/>
                <w:sz w:val="13"/>
                <w:szCs w:val="13"/>
                <w:color w:val="0000FF"/>
              </w:rPr>
              <w:t>06/01/2026</w:t>
            </w:r>
          </w:p>
        </w:tc>
        <w:tc>
          <w:tcPr>
            <w:tcW w:w="1080" w:type="dxa"/>
            <w:vAlign w:val="bottom"/>
          </w:tcPr>
          <w:p>
            <w:pPr>
              <w:spacing w:after="0"/>
              <w:rPr>
                <w:sz w:val="12"/>
                <w:szCs w:val="12"/>
                <w:color w:val="auto"/>
              </w:rPr>
            </w:pPr>
          </w:p>
        </w:tc>
        <w:tc>
          <w:tcPr>
            <w:tcW w:w="72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960" w:type="dxa"/>
            <w:vAlign w:val="bottom"/>
          </w:tcPr>
          <w:p>
            <w:pPr>
              <w:ind w:left="440"/>
              <w:spacing w:after="0" w:line="140" w:lineRule="exact"/>
              <w:rPr>
                <w:sz w:val="20"/>
                <w:szCs w:val="20"/>
                <w:color w:val="auto"/>
              </w:rPr>
            </w:pPr>
            <w:r>
              <w:rPr>
                <w:rFonts w:ascii="Times New Roman" w:cs="Times New Roman" w:eastAsia="Times New Roman" w:hAnsi="Times New Roman"/>
                <w:sz w:val="13"/>
                <w:szCs w:val="13"/>
                <w:color w:val="0000FF"/>
              </w:rPr>
              <w:t>159,375</w:t>
            </w:r>
          </w:p>
        </w:tc>
        <w:tc>
          <w:tcPr>
            <w:tcW w:w="7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06/01/2026</w:t>
            </w:r>
          </w:p>
        </w:tc>
        <w:tc>
          <w:tcPr>
            <w:tcW w:w="720" w:type="dxa"/>
            <w:vAlign w:val="bottom"/>
          </w:tcPr>
          <w:p>
            <w:pPr>
              <w:ind w:left="20"/>
              <w:spacing w:after="0" w:line="140" w:lineRule="exact"/>
              <w:rPr>
                <w:sz w:val="20"/>
                <w:szCs w:val="20"/>
                <w:color w:val="auto"/>
              </w:rPr>
            </w:pPr>
            <w:r>
              <w:rPr>
                <w:rFonts w:ascii="Times New Roman" w:cs="Times New Roman" w:eastAsia="Times New Roman" w:hAnsi="Times New Roman"/>
                <w:sz w:val="13"/>
                <w:szCs w:val="13"/>
                <w:color w:val="0000FF"/>
              </w:rPr>
              <w:t>06/01/2026</w:t>
            </w:r>
          </w:p>
        </w:tc>
        <w:tc>
          <w:tcPr>
            <w:tcW w:w="62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640" w:type="dxa"/>
            <w:vAlign w:val="bottom"/>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(RSU)</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ind w:right="149"/>
              <w:spacing w:after="0" w:line="128" w:lineRule="exact"/>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-1740535</wp:posOffset>
            </wp:positionV>
            <wp:extent cx="28575" cy="17456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7456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two awards of RSUs. Each RSU represents a contingent right to receive one common share of Sphere 3D Corp.</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primarily represents the sale of shares by the reporting person to satisfy the issuer's tax withholding obligations in connection with the release of vested RSUs on June 1, 2026.</w:t>
      </w:r>
    </w:p>
    <w:p>
      <w:pPr>
        <w:spacing w:after="0" w:line="41" w:lineRule="exact"/>
        <w:rPr>
          <w:rFonts w:ascii="Times New Roman" w:cs="Times New Roman" w:eastAsia="Times New Roman" w:hAnsi="Times New Roman"/>
          <w:sz w:val="13"/>
          <w:szCs w:val="13"/>
          <w:color w:val="008000"/>
        </w:rPr>
      </w:pPr>
    </w:p>
    <w:p>
      <w:pPr>
        <w:ind w:left="40" w:right="30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reported under Column 9 include two awards. The underlying outstanding shares and vesting schedules are as follows: (i) 23,437 outstanding shares of which 7,813 vests on June 30, 2026 and 7,812 vests on September 30, 2026 and Dec 31, 2026 and (ii) 37,500 shares outstanding of which 9,375 shares vest quarterly from September 1, 2026 until June 1, 2027.</w:t>
      </w:r>
    </w:p>
    <w:p>
      <w:pPr>
        <w:spacing w:after="0" w:line="2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/s/ Kurt L. Kalbfleisch</w:t>
            </w:r>
          </w:p>
        </w:tc>
        <w:tc>
          <w:tcPr>
            <w:tcW w:w="720" w:type="dxa"/>
            <w:vAlign w:val="bottom"/>
          </w:tcPr>
          <w:p>
            <w:pPr>
              <w:spacing w:after="0"/>
              <w:rPr>
                <w:sz w:val="17"/>
                <w:szCs w:val="17"/>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2"/>
              </w:rPr>
              <w:t>06/03/2026</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290830</wp:posOffset>
            </wp:positionH>
            <wp:positionV relativeFrom="page">
              <wp:posOffset>88900</wp:posOffset>
            </wp:positionV>
            <wp:extent cx="6990715" cy="266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90715" cy="26670"/>
                    </a:xfrm>
                    <a:prstGeom prst="rect">
                      <a:avLst/>
                    </a:prstGeom>
                    <a:noFill/>
                  </pic:spPr>
                </pic:pic>
              </a:graphicData>
            </a:graphic>
          </wp:anchor>
        </w:drawing>
        <w:t>POWER OF ATTORNEY</w:t>
      </w:r>
    </w:p>
    <w:p>
      <w:pPr>
        <w:spacing w:after="0" w:line="181" w:lineRule="exact"/>
        <w:rPr>
          <w:sz w:val="20"/>
          <w:szCs w:val="20"/>
          <w:color w:val="auto"/>
        </w:rPr>
      </w:pPr>
    </w:p>
    <w:p>
      <w:pPr>
        <w:ind w:right="200" w:firstLine="51"/>
        <w:spacing w:after="0" w:line="275" w:lineRule="auto"/>
        <w:rPr>
          <w:sz w:val="20"/>
          <w:szCs w:val="20"/>
          <w:color w:val="auto"/>
        </w:rPr>
      </w:pPr>
      <w:r>
        <w:rPr>
          <w:rFonts w:ascii="Times New Roman" w:cs="Times New Roman" w:eastAsia="Times New Roman" w:hAnsi="Times New Roman"/>
          <w:sz w:val="20"/>
          <w:szCs w:val="20"/>
          <w:color w:val="auto"/>
        </w:rPr>
        <w:t>The undersigned hereby constitutes and appoints Kurt Kalbfleisch, Denise Garrett and Ali Panjwani with full power of substitution, the undersigned's true and lawful attorney-in-fact to:</w:t>
      </w:r>
    </w:p>
    <w:p>
      <w:pPr>
        <w:spacing w:after="0" w:line="105" w:lineRule="exact"/>
        <w:rPr>
          <w:sz w:val="20"/>
          <w:szCs w:val="20"/>
          <w:color w:val="auto"/>
        </w:rPr>
      </w:pPr>
    </w:p>
    <w:p>
      <w:pPr>
        <w:jc w:val="both"/>
        <w:ind w:left="1220" w:hanging="608"/>
        <w:spacing w:after="0" w:line="259" w:lineRule="auto"/>
        <w:tabs>
          <w:tab w:leader="none" w:pos="1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prepare, execute in the undersigned's name and on the undersigned's behalf, and submit to the U.S. Securities and Exchange Commission (the "</w:t>
      </w:r>
      <w:r>
        <w:rPr>
          <w:rFonts w:ascii="Times New Roman" w:cs="Times New Roman" w:eastAsia="Times New Roman" w:hAnsi="Times New Roman"/>
          <w:sz w:val="17"/>
          <w:szCs w:val="17"/>
          <w:u w:val="single" w:color="auto"/>
          <w:color w:val="auto"/>
        </w:rPr>
        <w:t>SEC</w:t>
      </w:r>
      <w:r>
        <w:rPr>
          <w:rFonts w:ascii="Times New Roman" w:cs="Times New Roman" w:eastAsia="Times New Roman" w:hAnsi="Times New Roman"/>
          <w:sz w:val="17"/>
          <w:szCs w:val="17"/>
          <w:color w:val="auto"/>
        </w:rPr>
        <w:t>")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135" w:lineRule="exact"/>
        <w:rPr>
          <w:rFonts w:ascii="Times New Roman" w:cs="Times New Roman" w:eastAsia="Times New Roman" w:hAnsi="Times New Roman"/>
          <w:sz w:val="17"/>
          <w:szCs w:val="17"/>
          <w:color w:val="auto"/>
        </w:rPr>
      </w:pPr>
    </w:p>
    <w:p>
      <w:pPr>
        <w:ind w:left="1220" w:right="20" w:hanging="608"/>
        <w:spacing w:after="0" w:line="278" w:lineRule="auto"/>
        <w:tabs>
          <w:tab w:leader="none" w:pos="1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execute for and on behalf of the undersigned, in the undersigned's capacity as an officer and/or director of Sphere 3D Corp.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Forms 3, 4, and 5 in accordance with Section 16(a) of the Securities Exchange Act of 1934 and the rules thereunder;</w:t>
      </w:r>
    </w:p>
    <w:p>
      <w:pPr>
        <w:spacing w:after="0" w:line="132" w:lineRule="exact"/>
        <w:rPr>
          <w:rFonts w:ascii="Times New Roman" w:cs="Times New Roman" w:eastAsia="Times New Roman" w:hAnsi="Times New Roman"/>
          <w:sz w:val="17"/>
          <w:szCs w:val="17"/>
          <w:color w:val="auto"/>
        </w:rPr>
      </w:pPr>
    </w:p>
    <w:p>
      <w:pPr>
        <w:jc w:val="both"/>
        <w:ind w:left="1220" w:hanging="608"/>
        <w:spacing w:after="0" w:line="264" w:lineRule="auto"/>
        <w:tabs>
          <w:tab w:leader="none" w:pos="1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forms with the SEC and any stock exchange or similar authority; and</w:t>
      </w:r>
    </w:p>
    <w:p>
      <w:pPr>
        <w:spacing w:after="0" w:line="130" w:lineRule="exact"/>
        <w:rPr>
          <w:rFonts w:ascii="Times New Roman" w:cs="Times New Roman" w:eastAsia="Times New Roman" w:hAnsi="Times New Roman"/>
          <w:sz w:val="17"/>
          <w:szCs w:val="17"/>
          <w:color w:val="auto"/>
        </w:rPr>
      </w:pPr>
    </w:p>
    <w:p>
      <w:pPr>
        <w:jc w:val="both"/>
        <w:ind w:left="1220" w:hanging="608"/>
        <w:spacing w:after="0" w:line="259" w:lineRule="auto"/>
        <w:tabs>
          <w:tab w:leader="none" w:pos="1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36" w:lineRule="exact"/>
        <w:rPr>
          <w:sz w:val="20"/>
          <w:szCs w:val="20"/>
          <w:color w:val="auto"/>
        </w:rPr>
      </w:pPr>
    </w:p>
    <w:p>
      <w:pPr>
        <w:jc w:val="both"/>
        <w:ind w:firstLine="610"/>
        <w:spacing w:after="0" w:line="255" w:lineRule="auto"/>
        <w:rPr>
          <w:sz w:val="20"/>
          <w:szCs w:val="20"/>
          <w:color w:val="auto"/>
        </w:rPr>
      </w:pPr>
      <w:r>
        <w:rPr>
          <w:rFonts w:ascii="Times New Roman" w:cs="Times New Roman" w:eastAsia="Times New Roman" w:hAnsi="Times New Roman"/>
          <w:sz w:val="17"/>
          <w:szCs w:val="17"/>
          <w:color w:val="auto"/>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53" w:lineRule="exact"/>
        <w:rPr>
          <w:sz w:val="20"/>
          <w:szCs w:val="20"/>
          <w:color w:val="auto"/>
        </w:rPr>
      </w:pPr>
    </w:p>
    <w:p>
      <w:pPr>
        <w:jc w:val="both"/>
        <w:ind w:firstLine="610"/>
        <w:spacing w:after="0" w:line="264" w:lineRule="auto"/>
        <w:rPr>
          <w:sz w:val="20"/>
          <w:szCs w:val="20"/>
          <w:color w:val="auto"/>
        </w:rPr>
      </w:pPr>
      <w:r>
        <w:rPr>
          <w:rFonts w:ascii="Times New Roman" w:cs="Times New Roman" w:eastAsia="Times New Roman" w:hAnsi="Times New Roman"/>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3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 xml:space="preserve">IN WITNESS WHEREOF, the undersigned has caused this Power of Attorney to be executed as of this </w:t>
      </w:r>
      <w:r>
        <w:rPr>
          <w:rFonts w:ascii="Times New Roman" w:cs="Times New Roman" w:eastAsia="Times New Roman" w:hAnsi="Times New Roman"/>
          <w:sz w:val="17"/>
          <w:szCs w:val="17"/>
          <w:u w:val="single" w:color="auto"/>
          <w:color w:val="auto"/>
        </w:rPr>
        <w:t>15</w:t>
      </w:r>
      <w:r>
        <w:rPr>
          <w:rFonts w:ascii="Times New Roman" w:cs="Times New Roman" w:eastAsia="Times New Roman" w:hAnsi="Times New Roman"/>
          <w:sz w:val="17"/>
          <w:szCs w:val="17"/>
          <w:color w:val="auto"/>
        </w:rPr>
        <w:t xml:space="preserve"> day of December, 2022.</w:t>
      </w:r>
    </w:p>
    <w:p>
      <w:pPr>
        <w:spacing w:after="0" w:line="200" w:lineRule="exact"/>
        <w:rPr>
          <w:sz w:val="20"/>
          <w:szCs w:val="20"/>
          <w:color w:val="auto"/>
        </w:rPr>
      </w:pPr>
    </w:p>
    <w:p>
      <w:pPr>
        <w:spacing w:after="0" w:line="202"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7"/>
          <w:szCs w:val="17"/>
          <w:color w:val="auto"/>
        </w:rPr>
        <w:t>/s/ Susan S. Harnett</w:t>
      </w:r>
    </w:p>
    <w:p>
      <w:pPr>
        <w:spacing w:after="0" w:line="24"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3489960</wp:posOffset>
            </wp:positionH>
            <wp:positionV relativeFrom="paragraph">
              <wp:posOffset>-123190</wp:posOffset>
            </wp:positionV>
            <wp:extent cx="34810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481070" cy="8255"/>
                    </a:xfrm>
                    <a:prstGeom prst="rect">
                      <a:avLst/>
                    </a:prstGeom>
                    <a:noFill/>
                  </pic:spPr>
                </pic:pic>
              </a:graphicData>
            </a:graphic>
          </wp:anchor>
        </w:drawing>
      </w:r>
    </w:p>
    <w:p>
      <w:pPr>
        <w:spacing w:after="0" w:line="189"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7"/>
          <w:szCs w:val="17"/>
          <w:color w:val="auto"/>
        </w:rPr>
        <w:t>Susan S. Harnett</w:t>
      </w:r>
    </w:p>
    <w:p>
      <w:pPr>
        <w:spacing w:after="0" w:line="24"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7"/>
          <w:szCs w:val="17"/>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3489960</wp:posOffset>
            </wp:positionH>
            <wp:positionV relativeFrom="paragraph">
              <wp:posOffset>-123190</wp:posOffset>
            </wp:positionV>
            <wp:extent cx="34810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48107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76200</wp:posOffset>
            </wp:positionV>
            <wp:extent cx="6990715" cy="450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90715" cy="45085"/>
                    </a:xfrm>
                    <a:prstGeom prst="rect">
                      <a:avLst/>
                    </a:prstGeom>
                    <a:noFill/>
                  </pic:spPr>
                </pic:pic>
              </a:graphicData>
            </a:graphic>
          </wp:anchor>
        </w:drawing>
      </w:r>
    </w:p>
    <w:sectPr>
      <w:pgSz w:w="11900" w:h="16838" w:orient="portrait"/>
      <w:cols w:equalWidth="0" w:num="1">
        <w:col w:w="10980"/>
      </w:cols>
      <w:pgMar w:left="460" w:top="323"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409130" TargetMode="External"/><Relationship Id="rId14" Type="http://schemas.openxmlformats.org/officeDocument/2006/relationships/hyperlink" Target="http://www.sec.gov/cgi-bin/browse-edgar?action=getcompany&amp;CIK=00015919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2026-06-03T15:16:23Z</dcterms:created>
  <dcterms:modified xsi:type="dcterms:W3CDTF">2026-06-03T15:16:23Z</dcterms:modified>
</cp:coreProperties>
</file>