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orm8k.htm"/>
      <w:bookmarkStart w:id="1" w:name="ksform8k"/>
      <w:bookmarkStart w:id="2" w:name="form8k.htm"/>
      <w:bookmarkStart w:id="3" w:name="ksform8k"/>
      <w:bookmarkEnd w:id="2"/>
      <w:bookmarkEnd w:id="3"/>
    </w:p>
    <w:p>
      <w:pPr>
        <w:pStyle w:val="TextBody"/>
        <w:bidi w:val="0"/>
        <w:spacing w:before="200" w:after="200"/>
        <w:jc w:val="center"/>
        <w:rPr>
          <w:rFonts w:ascii="Times New Roman" w:hAnsi="Times New Roman"/>
          <w:sz w:val="20"/>
        </w:rPr>
      </w:pPr>
      <w:bookmarkStart w:id="4" w:name="page_1"/>
      <w:bookmarkEnd w:id="4"/>
      <w:r>
        <w:rPr>
          <w:rFonts w:ascii="Times New Roman" w:hAnsi="Times New Roman"/>
          <w:b/>
          <w:sz w:val="50"/>
        </w:rPr>
        <w:t>UNITED STATES</w:t>
      </w:r>
      <w:r>
        <w:rPr>
          <w:rFonts w:ascii="Times New Roman" w:hAnsi="Times New Roman"/>
          <w:sz w:val="20"/>
        </w:rPr>
        <w:br/>
      </w:r>
      <w:r>
        <w:rPr>
          <w:rFonts w:ascii="Times New Roman" w:hAnsi="Times New Roman"/>
          <w:b/>
          <w:sz w:val="50"/>
        </w:rPr>
        <w:t>SECURITIES AND EXCHANGE COMMISSION</w:t>
      </w:r>
      <w:r>
        <w:rPr>
          <w:rFonts w:ascii="Times New Roman" w:hAnsi="Times New Roman"/>
          <w:sz w:val="20"/>
        </w:rPr>
        <w:br/>
        <w:t>Washington, D.C. 20549</w:t>
        <w:br/>
      </w:r>
      <w:r>
        <w:rPr>
          <w:rFonts w:ascii="Times New Roman" w:hAnsi="Times New Roman"/>
          <w:b/>
          <w:sz w:val="20"/>
        </w:rPr>
        <w:t>___________________________</w:t>
      </w:r>
    </w:p>
    <w:p>
      <w:pPr>
        <w:pStyle w:val="TextBody"/>
        <w:bidi w:val="0"/>
        <w:spacing w:before="200" w:after="200"/>
        <w:jc w:val="center"/>
        <w:rPr>
          <w:rFonts w:ascii="Times New Roman" w:hAnsi="Times New Roman"/>
          <w:b/>
          <w:sz w:val="50"/>
        </w:rPr>
      </w:pPr>
      <w:r>
        <w:rPr>
          <w:rFonts w:ascii="Times New Roman" w:hAnsi="Times New Roman"/>
          <w:b/>
          <w:sz w:val="50"/>
        </w:rPr>
        <w:t>FORM 8-K</w:t>
      </w:r>
    </w:p>
    <w:p>
      <w:pPr>
        <w:pStyle w:val="TextBody"/>
        <w:bidi w:val="0"/>
        <w:spacing w:before="200" w:after="200"/>
        <w:jc w:val="center"/>
        <w:rPr>
          <w:rFonts w:ascii="Times New Roman" w:hAnsi="Times New Roman"/>
          <w:sz w:val="20"/>
        </w:rPr>
      </w:pPr>
      <w:r>
        <w:rPr>
          <w:rFonts w:ascii="Times New Roman" w:hAnsi="Times New Roman"/>
          <w:b/>
          <w:sz w:val="20"/>
        </w:rPr>
        <w:t>CURRENT REPORT</w:t>
      </w:r>
      <w:r>
        <w:rPr>
          <w:rFonts w:ascii="Times New Roman" w:hAnsi="Times New Roman"/>
          <w:sz w:val="20"/>
        </w:rPr>
        <w:br/>
      </w:r>
      <w:r>
        <w:rPr>
          <w:rFonts w:ascii="Times New Roman" w:hAnsi="Times New Roman"/>
          <w:b/>
          <w:sz w:val="20"/>
        </w:rPr>
        <w:t>Pursuant to Section 13 or 15(d) of the Securities Exchange Act of 1934</w:t>
      </w:r>
    </w:p>
    <w:p>
      <w:pPr>
        <w:pStyle w:val="TextBody"/>
        <w:bidi w:val="0"/>
        <w:spacing w:before="200" w:after="20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u w:val="single"/>
        </w:rPr>
        <w:t xml:space="preserve">August 10, 2026 </w:t>
      </w:r>
    </w:p>
    <w:p>
      <w:pPr>
        <w:pStyle w:val="TextBody"/>
        <w:bidi w:val="0"/>
        <w:spacing w:before="200" w:after="200"/>
        <w:jc w:val="center"/>
        <w:rPr>
          <w:rFonts w:ascii="Times New Roman" w:hAnsi="Times New Roman"/>
          <w:sz w:val="20"/>
        </w:rPr>
      </w:pPr>
      <w:r>
        <w:rPr>
          <w:rFonts w:ascii="Times New Roman" w:hAnsi="Times New Roman"/>
          <w:b/>
          <w:sz w:val="50"/>
          <w:u w:val="single"/>
        </w:rPr>
        <w:t>SPHERE 3D CORP.</w:t>
      </w:r>
      <w:r>
        <w:rPr>
          <w:rFonts w:ascii="Times New Roman" w:hAnsi="Times New Roman"/>
          <w:sz w:val="20"/>
        </w:rPr>
        <w:br/>
        <w:t>(Exact name of registrant as specified in its charter)</w:t>
      </w:r>
    </w:p>
    <w:tbl>
      <w:tblPr>
        <w:tblW w:w="5838" w:type="dxa"/>
        <w:jc w:val="left"/>
        <w:tblInd w:w="0" w:type="dxa"/>
        <w:tblLayout w:type="fixed"/>
        <w:tblCellMar>
          <w:top w:w="28" w:type="dxa"/>
          <w:left w:w="28" w:type="dxa"/>
          <w:bottom w:w="28" w:type="dxa"/>
          <w:right w:w="28" w:type="dxa"/>
        </w:tblCellMar>
      </w:tblPr>
      <w:tblGrid>
        <w:gridCol w:w="2566"/>
        <w:gridCol w:w="1381"/>
        <w:gridCol w:w="1891"/>
      </w:tblGrid>
      <w:tr>
        <w:trPr/>
        <w:tc>
          <w:tcPr>
            <w:tcW w:w="2566" w:type="dxa"/>
            <w:tcBorders/>
            <w:vAlign w:val="center"/>
          </w:tcPr>
          <w:p>
            <w:pPr>
              <w:pStyle w:val="TableContents"/>
              <w:bidi w:val="0"/>
              <w:spacing w:before="0" w:after="283"/>
              <w:jc w:val="center"/>
              <w:rPr>
                <w:b/>
                <w:u w:val="single"/>
              </w:rPr>
            </w:pPr>
            <w:r>
              <w:rPr>
                <w:b/>
                <w:u w:val="single"/>
              </w:rPr>
              <w:t xml:space="preserve">Ontario </w:t>
            </w:r>
          </w:p>
        </w:tc>
        <w:tc>
          <w:tcPr>
            <w:tcW w:w="1381" w:type="dxa"/>
            <w:tcBorders/>
            <w:vAlign w:val="center"/>
          </w:tcPr>
          <w:p>
            <w:pPr>
              <w:pStyle w:val="TableContents"/>
              <w:bidi w:val="0"/>
              <w:spacing w:before="0" w:after="283"/>
              <w:jc w:val="center"/>
              <w:rPr>
                <w:b/>
                <w:u w:val="single"/>
              </w:rPr>
            </w:pPr>
            <w:r>
              <w:rPr>
                <w:b/>
                <w:u w:val="single"/>
              </w:rPr>
              <w:t xml:space="preserve">001-36532 </w:t>
            </w:r>
          </w:p>
        </w:tc>
        <w:tc>
          <w:tcPr>
            <w:tcW w:w="1891" w:type="dxa"/>
            <w:tcBorders/>
            <w:vAlign w:val="center"/>
          </w:tcPr>
          <w:p>
            <w:pPr>
              <w:pStyle w:val="TableContents"/>
              <w:bidi w:val="0"/>
              <w:spacing w:before="0" w:after="283"/>
              <w:jc w:val="center"/>
              <w:rPr>
                <w:b/>
                <w:u w:val="single"/>
              </w:rPr>
            </w:pPr>
            <w:r>
              <w:rPr>
                <w:b/>
                <w:u w:val="single"/>
              </w:rPr>
              <w:t xml:space="preserve">98-1220792 </w:t>
            </w:r>
          </w:p>
        </w:tc>
      </w:tr>
      <w:tr>
        <w:trPr/>
        <w:tc>
          <w:tcPr>
            <w:tcW w:w="2566" w:type="dxa"/>
            <w:tcBorders/>
            <w:vAlign w:val="center"/>
          </w:tcPr>
          <w:p>
            <w:pPr>
              <w:pStyle w:val="TableContents"/>
              <w:bidi w:val="0"/>
              <w:spacing w:before="0" w:after="283"/>
              <w:jc w:val="center"/>
              <w:rPr/>
            </w:pPr>
            <w:r>
              <w:rPr/>
              <w:t>(State or other jurisdiction</w:t>
            </w:r>
          </w:p>
        </w:tc>
        <w:tc>
          <w:tcPr>
            <w:tcW w:w="1381" w:type="dxa"/>
            <w:tcBorders/>
            <w:vAlign w:val="center"/>
          </w:tcPr>
          <w:p>
            <w:pPr>
              <w:pStyle w:val="TableContents"/>
              <w:bidi w:val="0"/>
              <w:spacing w:before="0" w:after="283"/>
              <w:jc w:val="center"/>
              <w:rPr/>
            </w:pPr>
            <w:r>
              <w:rPr/>
              <w:t>(Commission</w:t>
            </w:r>
          </w:p>
        </w:tc>
        <w:tc>
          <w:tcPr>
            <w:tcW w:w="1891" w:type="dxa"/>
            <w:tcBorders/>
            <w:vAlign w:val="center"/>
          </w:tcPr>
          <w:p>
            <w:pPr>
              <w:pStyle w:val="TableContents"/>
              <w:bidi w:val="0"/>
              <w:spacing w:before="0" w:after="283"/>
              <w:jc w:val="center"/>
              <w:rPr/>
            </w:pPr>
            <w:r>
              <w:rPr/>
              <w:t>(IRS Employer</w:t>
            </w:r>
          </w:p>
        </w:tc>
      </w:tr>
      <w:tr>
        <w:trPr/>
        <w:tc>
          <w:tcPr>
            <w:tcW w:w="2566" w:type="dxa"/>
            <w:tcBorders/>
            <w:vAlign w:val="center"/>
          </w:tcPr>
          <w:p>
            <w:pPr>
              <w:pStyle w:val="TableContents"/>
              <w:bidi w:val="0"/>
              <w:spacing w:before="0" w:after="283"/>
              <w:jc w:val="center"/>
              <w:rPr/>
            </w:pPr>
            <w:r>
              <w:rPr/>
              <w:t>of incorporation)</w:t>
            </w:r>
          </w:p>
        </w:tc>
        <w:tc>
          <w:tcPr>
            <w:tcW w:w="1381" w:type="dxa"/>
            <w:tcBorders/>
            <w:vAlign w:val="center"/>
          </w:tcPr>
          <w:p>
            <w:pPr>
              <w:pStyle w:val="TableContents"/>
              <w:bidi w:val="0"/>
              <w:spacing w:before="0" w:after="283"/>
              <w:jc w:val="center"/>
              <w:rPr/>
            </w:pPr>
            <w:r>
              <w:rPr/>
              <w:t>File Number)</w:t>
            </w:r>
          </w:p>
        </w:tc>
        <w:tc>
          <w:tcPr>
            <w:tcW w:w="1891" w:type="dxa"/>
            <w:tcBorders/>
            <w:vAlign w:val="center"/>
          </w:tcPr>
          <w:p>
            <w:pPr>
              <w:pStyle w:val="TableContents"/>
              <w:bidi w:val="0"/>
              <w:spacing w:before="0" w:after="283"/>
              <w:jc w:val="center"/>
              <w:rPr/>
            </w:pPr>
            <w:r>
              <w:rPr/>
              <w:t>Identification No.)</w:t>
            </w:r>
          </w:p>
        </w:tc>
      </w:tr>
    </w:tbl>
    <w:p>
      <w:pPr>
        <w:pStyle w:val="TextBody"/>
        <w:bidi w:val="0"/>
        <w:spacing w:before="200" w:after="200"/>
        <w:jc w:val="center"/>
        <w:rPr>
          <w:rFonts w:ascii="Times New Roman" w:hAnsi="Times New Roman"/>
          <w:sz w:val="20"/>
        </w:rPr>
      </w:pPr>
      <w:r>
        <w:rPr>
          <w:rFonts w:ascii="Times New Roman" w:hAnsi="Times New Roman"/>
          <w:b/>
          <w:sz w:val="20"/>
        </w:rPr>
        <w:t>243 Tresser Blvd, 17th Floor</w:t>
        <w:br/>
      </w:r>
      <w:r>
        <w:rPr>
          <w:rFonts w:ascii="Times New Roman" w:hAnsi="Times New Roman"/>
          <w:b/>
          <w:sz w:val="20"/>
          <w:u w:val="single"/>
        </w:rPr>
        <w:t>Stamford, Connecticut, United States 06901</w:t>
        <w:br/>
      </w:r>
      <w:r>
        <w:rPr>
          <w:rFonts w:ascii="Times New Roman" w:hAnsi="Times New Roman"/>
          <w:sz w:val="20"/>
        </w:rPr>
        <w:t>(Address of principal executive offices) (ZIP Code)</w:t>
      </w:r>
    </w:p>
    <w:p>
      <w:pPr>
        <w:pStyle w:val="TextBody"/>
        <w:bidi w:val="0"/>
        <w:spacing w:before="200" w:after="20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u w:val="single"/>
        </w:rPr>
        <w:t>(647) 952 5049</w:t>
      </w:r>
    </w:p>
    <w:p>
      <w:pPr>
        <w:pStyle w:val="TextBody"/>
        <w:bidi w:val="0"/>
        <w:spacing w:before="200" w:after="200"/>
        <w:jc w:val="center"/>
        <w:rPr>
          <w:rFonts w:ascii="Times New Roman" w:hAnsi="Times New Roman"/>
          <w:sz w:val="20"/>
        </w:rPr>
      </w:pPr>
      <w:r>
        <w:rPr>
          <w:rFonts w:ascii="Times New Roman" w:hAnsi="Times New Roman"/>
          <w:b/>
          <w:sz w:val="20"/>
          <w:u w:val="single"/>
        </w:rPr>
        <w:t>Not Applicable</w:t>
      </w:r>
      <w:r>
        <w:rPr>
          <w:rFonts w:ascii="Times New Roman" w:hAnsi="Times New Roman"/>
          <w:sz w:val="20"/>
        </w:rPr>
        <w:t xml:space="preserve"> </w:t>
        <w:br/>
        <w:t>(Former name or former address, if changed since last report)</w:t>
      </w:r>
    </w:p>
    <w:p>
      <w:pPr>
        <w:pStyle w:val="TextBody"/>
        <w:bidi w:val="0"/>
        <w:spacing w:before="200" w:after="20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200" w:after="200"/>
        <w:jc w:val="both"/>
        <w:rPr/>
      </w:pPr>
      <w:r>
        <w:rPr/>
        <w:t xml:space="preserve">☐ </w:t>
      </w:r>
      <w:r>
        <w:rPr>
          <w:rFonts w:ascii="Times New Roman" w:hAnsi="Times New Roman"/>
          <w:sz w:val="20"/>
        </w:rPr>
        <w:t xml:space="preserve">Written communications pursuant to Rule 425 under the Securities Act (17 CFR 230.425) </w:t>
      </w:r>
    </w:p>
    <w:p>
      <w:pPr>
        <w:pStyle w:val="TextBody"/>
        <w:bidi w:val="0"/>
        <w:spacing w:before="200" w:after="200"/>
        <w:jc w:val="both"/>
        <w:rPr/>
      </w:pPr>
      <w:r>
        <w:rPr/>
        <w:t xml:space="preserve">☐ </w:t>
      </w:r>
      <w:r>
        <w:rPr>
          <w:rFonts w:ascii="Times New Roman" w:hAnsi="Times New Roman"/>
          <w:sz w:val="20"/>
        </w:rPr>
        <w:t xml:space="preserve">Soliciting material pursuant to Rule 14a-12 under the Exchange Act (17 CFR 240.14a-12)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14d-2(b) under the Exchange Act (17 CFR 240.14d-2(b))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13e-4(c) under the Exchange Act (17 CFR 240.13e-4(c)) </w:t>
      </w:r>
    </w:p>
    <w:p>
      <w:pPr>
        <w:pStyle w:val="TextBody"/>
        <w:bidi w:val="0"/>
        <w:spacing w:before="200" w:after="200"/>
        <w:jc w:val="left"/>
        <w:rPr>
          <w:rFonts w:ascii="Times New Roman" w:hAnsi="Times New Roman"/>
          <w:sz w:val="20"/>
        </w:rPr>
      </w:pPr>
      <w:r>
        <w:rPr>
          <w:rFonts w:ascii="Times New Roman" w:hAnsi="Times New Roman"/>
          <w:sz w:val="20"/>
        </w:rPr>
        <w:t>Securities registered pursuant to Section 12(b) of the Act:</w:t>
      </w:r>
    </w:p>
    <w:tbl>
      <w:tblPr>
        <w:tblW w:w="8635" w:type="dxa"/>
        <w:jc w:val="left"/>
        <w:tblInd w:w="0" w:type="dxa"/>
        <w:tblLayout w:type="fixed"/>
        <w:tblCellMar>
          <w:top w:w="0" w:type="dxa"/>
          <w:left w:w="0" w:type="dxa"/>
          <w:bottom w:w="28" w:type="dxa"/>
          <w:right w:w="0" w:type="dxa"/>
        </w:tblCellMar>
      </w:tblPr>
      <w:tblGrid>
        <w:gridCol w:w="1891"/>
        <w:gridCol w:w="146"/>
        <w:gridCol w:w="1861"/>
        <w:gridCol w:w="146"/>
        <w:gridCol w:w="4591"/>
      </w:tblGrid>
      <w:tr>
        <w:trPr/>
        <w:tc>
          <w:tcPr>
            <w:tcW w:w="1891" w:type="dxa"/>
            <w:tcBorders>
              <w:bottom w:val="single" w:sz="2" w:space="0" w:color="000000"/>
            </w:tcBorders>
            <w:vAlign w:val="center"/>
          </w:tcPr>
          <w:p>
            <w:pPr>
              <w:pStyle w:val="TableContents"/>
              <w:bidi w:val="0"/>
              <w:spacing w:before="0" w:after="283"/>
              <w:jc w:val="center"/>
              <w:rPr>
                <w:b/>
              </w:rPr>
            </w:pPr>
            <w:r>
              <w:rPr>
                <w:b/>
              </w:rPr>
              <w:t>Title of each class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bottom w:val="single" w:sz="2" w:space="0" w:color="000000"/>
            </w:tcBorders>
            <w:vAlign w:val="center"/>
          </w:tcPr>
          <w:p>
            <w:pPr>
              <w:pStyle w:val="TableContents"/>
              <w:bidi w:val="0"/>
              <w:spacing w:before="0" w:after="283"/>
              <w:jc w:val="center"/>
              <w:rPr>
                <w:b/>
              </w:rPr>
            </w:pPr>
            <w:r>
              <w:rPr>
                <w:b/>
              </w:rPr>
              <w:t>Trading Symbols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bottom w:val="single" w:sz="2" w:space="0" w:color="000000"/>
            </w:tcBorders>
            <w:vAlign w:val="center"/>
          </w:tcPr>
          <w:p>
            <w:pPr>
              <w:pStyle w:val="TableContents"/>
              <w:bidi w:val="0"/>
              <w:spacing w:before="0" w:after="283"/>
              <w:jc w:val="center"/>
              <w:rPr>
                <w:b/>
              </w:rPr>
            </w:pPr>
            <w:r>
              <w:rPr>
                <w:b/>
              </w:rPr>
              <w:t>Name of each exchange on which registered</w:t>
            </w:r>
          </w:p>
        </w:tc>
      </w:tr>
      <w:tr>
        <w:trPr/>
        <w:tc>
          <w:tcPr>
            <w:tcW w:w="1891" w:type="dxa"/>
            <w:tcBorders/>
            <w:tcMar>
              <w:top w:w="28" w:type="dxa"/>
              <w:left w:w="28" w:type="dxa"/>
              <w:right w:w="28" w:type="dxa"/>
            </w:tcMar>
            <w:vAlign w:val="center"/>
          </w:tcPr>
          <w:p>
            <w:pPr>
              <w:pStyle w:val="TableContents"/>
              <w:bidi w:val="0"/>
              <w:spacing w:before="0" w:after="283"/>
              <w:jc w:val="center"/>
              <w:rPr/>
            </w:pPr>
            <w:r>
              <w:rPr/>
              <w:t xml:space="preserve">Common Shares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tcMar>
              <w:top w:w="28" w:type="dxa"/>
              <w:left w:w="28" w:type="dxa"/>
              <w:right w:w="28" w:type="dxa"/>
            </w:tcMar>
            <w:vAlign w:val="center"/>
          </w:tcPr>
          <w:p>
            <w:pPr>
              <w:pStyle w:val="TableContents"/>
              <w:bidi w:val="0"/>
              <w:spacing w:before="0" w:after="283"/>
              <w:jc w:val="center"/>
              <w:rPr/>
            </w:pPr>
            <w:r>
              <w:rPr/>
              <w:t xml:space="preserve">ANY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tcMar>
              <w:top w:w="28" w:type="dxa"/>
              <w:left w:w="28" w:type="dxa"/>
              <w:right w:w="28" w:type="dxa"/>
            </w:tcMar>
            <w:vAlign w:val="center"/>
          </w:tcPr>
          <w:p>
            <w:pPr>
              <w:pStyle w:val="TableContents"/>
              <w:bidi w:val="0"/>
              <w:spacing w:before="0" w:after="283"/>
              <w:jc w:val="center"/>
              <w:rPr/>
            </w:pPr>
            <w:r>
              <w:rPr/>
              <w:t xml:space="preserve">NASDAQ Capital Market </w:t>
            </w:r>
          </w:p>
        </w:tc>
      </w:tr>
    </w:tbl>
    <w:p>
      <w:pPr>
        <w:pStyle w:val="TextBody"/>
        <w:bidi w:val="0"/>
        <w:spacing w:before="200" w:after="20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before="200" w:after="200"/>
        <w:jc w:val="both"/>
        <w:rPr>
          <w:rFonts w:ascii="Times New Roman" w:hAnsi="Times New Roman"/>
          <w:sz w:val="20"/>
        </w:rPr>
      </w:pPr>
      <w:r>
        <w:rPr>
          <w:rFonts w:ascii="Times New Roman" w:hAnsi="Times New Roman"/>
          <w:sz w:val="20"/>
        </w:rPr>
        <w:t xml:space="preserve">Emerging growth company ☐ </w:t>
      </w:r>
    </w:p>
    <w:p>
      <w:pPr>
        <w:pStyle w:val="TextBody"/>
        <w:bidi w:val="0"/>
        <w:spacing w:before="200" w:after="20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 w:hAnsi="Times New Roman"/>
          <w:b/>
          <w:sz w:val="20"/>
        </w:rPr>
      </w:pPr>
      <w:bookmarkStart w:id="5" w:name="page_2"/>
      <w:bookmarkEnd w:id="5"/>
      <w:r>
        <w:rPr>
          <w:rFonts w:ascii="Times New Roman" w:hAnsi="Times New Roman"/>
          <w:b/>
          <w:sz w:val="20"/>
        </w:rPr>
        <w:t>Item 1.01 Entry into a Material Definitive Agreement.</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information set forth in Item 3.03 of this Current Report is incorporated into this Item 1.01 by reference.</w:t>
      </w:r>
    </w:p>
    <w:p>
      <w:pPr>
        <w:pStyle w:val="TextBody"/>
        <w:bidi w:val="0"/>
        <w:spacing w:before="200" w:after="200"/>
        <w:jc w:val="both"/>
        <w:rPr>
          <w:rFonts w:ascii="Times New Roman" w:hAnsi="Times New Roman"/>
          <w:b/>
          <w:sz w:val="20"/>
        </w:rPr>
      </w:pPr>
      <w:r>
        <w:rPr>
          <w:rFonts w:ascii="Times New Roman" w:hAnsi="Times New Roman"/>
          <w:b/>
          <w:sz w:val="20"/>
        </w:rPr>
        <w:t>Item 3.03  Material Modification to Rights of Security Holders.</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On August 7, 2026, the board of directors (the "</w:t>
      </w:r>
      <w:r>
        <w:rPr>
          <w:rFonts w:ascii="Times New Roman" w:hAnsi="Times New Roman"/>
          <w:b/>
          <w:sz w:val="20"/>
        </w:rPr>
        <w:t>Board</w:t>
      </w:r>
      <w:r>
        <w:rPr>
          <w:rFonts w:ascii="Times New Roman" w:hAnsi="Times New Roman"/>
          <w:sz w:val="20"/>
        </w:rPr>
        <w:t>") of Sphere 3D Corp. (the "</w:t>
      </w:r>
      <w:r>
        <w:rPr>
          <w:rFonts w:ascii="Times New Roman" w:hAnsi="Times New Roman"/>
          <w:b/>
          <w:sz w:val="20"/>
        </w:rPr>
        <w:t>Corporation</w:t>
      </w:r>
      <w:r>
        <w:rPr>
          <w:rFonts w:ascii="Times New Roman" w:hAnsi="Times New Roman"/>
          <w:sz w:val="20"/>
        </w:rPr>
        <w:t>"), an Ontario corporation, adopted a shareholder rights plan agreement and authorized the issuance of one right (each, a "</w:t>
      </w:r>
      <w:r>
        <w:rPr>
          <w:rFonts w:ascii="Times New Roman" w:hAnsi="Times New Roman"/>
          <w:b/>
          <w:sz w:val="20"/>
        </w:rPr>
        <w:t>Right</w:t>
      </w:r>
      <w:r>
        <w:rPr>
          <w:rFonts w:ascii="Times New Roman" w:hAnsi="Times New Roman"/>
          <w:sz w:val="20"/>
        </w:rPr>
        <w:t>") for each outstanding Voting Share (as defined below) of the Corporation as of the Close of Business (as defined in the Rights Agreement (as defined below)) on August 20, 2026, which is the date that is ten days after the effective date of the Rights Agreement (the "</w:t>
      </w:r>
      <w:r>
        <w:rPr>
          <w:rFonts w:ascii="Times New Roman" w:hAnsi="Times New Roman"/>
          <w:b/>
          <w:sz w:val="20"/>
        </w:rPr>
        <w:t>Record Time</w:t>
      </w:r>
      <w:r>
        <w:rPr>
          <w:rFonts w:ascii="Times New Roman" w:hAnsi="Times New Roman"/>
          <w:sz w:val="20"/>
        </w:rPr>
        <w:t>"), and one Right for each Voting Share issued after the Record Time and prior to the earlier of the Separation Time (as defined below) and the Expiration Time (as defined below). Each Right entitles its holder, from and after the Separation Time, to purchase securities from the Corporation pursuant to the conditions set forth in the shareholder rights plan agreement, dated as of August 10, 2026 (the "</w:t>
      </w:r>
      <w:r>
        <w:rPr>
          <w:rFonts w:ascii="Times New Roman" w:hAnsi="Times New Roman"/>
          <w:b/>
          <w:sz w:val="20"/>
        </w:rPr>
        <w:t>Rights Agreement</w:t>
      </w:r>
      <w:r>
        <w:rPr>
          <w:rFonts w:ascii="Times New Roman" w:hAnsi="Times New Roman"/>
          <w:sz w:val="20"/>
        </w:rPr>
        <w:t>"), by and between the Corporation and TSX Trust Company, a Canadian trust company, as rights agent (the "</w:t>
      </w:r>
      <w:r>
        <w:rPr>
          <w:rFonts w:ascii="Times New Roman" w:hAnsi="Times New Roman"/>
          <w:b/>
          <w:sz w:val="20"/>
        </w:rPr>
        <w:t>Rights Agent</w:t>
      </w:r>
      <w:r>
        <w:rPr>
          <w:rFonts w:ascii="Times New Roman" w:hAnsi="Times New Roman"/>
          <w:sz w:val="20"/>
        </w:rPr>
        <w:t>"). A summary of certain provisions of the Rights Agreement follows.</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Rights Agreement is intended to ensure, to the extent possible, that all shareholders of the Corporation are treated fairly in connection with any Take-over Bid (as defined below) for the Corporation. A "</w:t>
      </w:r>
      <w:r>
        <w:rPr>
          <w:rFonts w:ascii="Times New Roman" w:hAnsi="Times New Roman"/>
          <w:b/>
          <w:sz w:val="20"/>
        </w:rPr>
        <w:t>Take-over Bid</w:t>
      </w:r>
      <w:r>
        <w:rPr>
          <w:rFonts w:ascii="Times New Roman" w:hAnsi="Times New Roman"/>
          <w:sz w:val="20"/>
        </w:rPr>
        <w:t>" is defined as an offer to acquire Voting Shares and/or Convertible Securities (each as defined below) that, if acquired and Beneficially Owned (as defined in the Rights Agreement and described below) by the Offeror, together with the Offeror's Securities, would constitute 20% or more of the outstanding Voting Shares at the time of the offer.</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Rights Agreement sets out which Persons shall be deemed to be the "</w:t>
      </w:r>
      <w:r>
        <w:rPr>
          <w:rFonts w:ascii="Times New Roman" w:hAnsi="Times New Roman"/>
          <w:b/>
          <w:sz w:val="20"/>
        </w:rPr>
        <w:t>Beneficial Owner</w:t>
      </w:r>
      <w:r>
        <w:rPr>
          <w:rFonts w:ascii="Times New Roman" w:hAnsi="Times New Roman"/>
          <w:sz w:val="20"/>
        </w:rPr>
        <w:t>" of, and to have "</w:t>
      </w:r>
      <w:r>
        <w:rPr>
          <w:rFonts w:ascii="Times New Roman" w:hAnsi="Times New Roman"/>
          <w:b/>
          <w:sz w:val="20"/>
        </w:rPr>
        <w:t>Beneficial Ownership</w:t>
      </w:r>
      <w:r>
        <w:rPr>
          <w:rFonts w:ascii="Times New Roman" w:hAnsi="Times New Roman"/>
          <w:sz w:val="20"/>
        </w:rPr>
        <w:t>" of and to "</w:t>
      </w:r>
      <w:r>
        <w:rPr>
          <w:rFonts w:ascii="Times New Roman" w:hAnsi="Times New Roman"/>
          <w:b/>
          <w:sz w:val="20"/>
        </w:rPr>
        <w:t>Beneficially Own</w:t>
      </w:r>
      <w:r>
        <w:rPr>
          <w:rFonts w:ascii="Times New Roman" w:hAnsi="Times New Roman"/>
          <w:sz w:val="20"/>
        </w:rPr>
        <w:t>," securities, generally being: (i) any securities as to which such Person (or any of such Person's associates or affiliates) is the owner at law or in equity, including beneficial ownership determined pursuant to Rule 13d-3 under the Securities Exchange Act of 1934, as amended (the "</w:t>
      </w:r>
      <w:r>
        <w:rPr>
          <w:rFonts w:ascii="Times New Roman" w:hAnsi="Times New Roman"/>
          <w:b/>
          <w:sz w:val="20"/>
        </w:rPr>
        <w:t>Exchange Act</w:t>
      </w:r>
      <w:r>
        <w:rPr>
          <w:rFonts w:ascii="Times New Roman" w:hAnsi="Times New Roman"/>
          <w:sz w:val="20"/>
        </w:rPr>
        <w:t>"); (ii) certain securities as to which such Person has the right to become the owner at law or in equity, whether such right is exercisable immediately or within a period of 60 days thereafter; (iii) any securities that are subject to a lock-up agreement; (iv) securities subject to derivative transactions that provide the economic equivalent of ownership or an opportunity to profit from changes in the value of such securities, including certain securities held by a derivatives counterparty; (v) securities subject to arrangements that the Board determines in good faith have the primary purpose or effect of avoiding or circumventing the Rights Agreement or substantially the same economic or practical effect as Beneficial Ownership; and (vi) securities Beneficially Owned by Persons acting jointly or in concert. The Rights Agreement also sets out those circumstances in which a Person shall not be deemed the "Beneficial Owner" of, or to have "Beneficial Ownership" of, or to "Beneficially Own," any security.</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The Rights</w:t>
      </w:r>
      <w:r>
        <w:rPr>
          <w:rFonts w:ascii="Times New Roman" w:hAnsi="Times New Roman"/>
          <w:b/>
          <w:sz w:val="20"/>
        </w:rPr>
        <w:t>.</w:t>
      </w:r>
      <w:r>
        <w:rPr>
          <w:rFonts w:ascii="Times New Roman" w:hAnsi="Times New Roman"/>
          <w:sz w:val="20"/>
        </w:rPr>
        <w:t xml:space="preserve"> The Rights will attach to any Common Shares (as defined below) and other securities of the Corporation that allow holders to vote in the election of the Board (collectively, "</w:t>
      </w:r>
      <w:r>
        <w:rPr>
          <w:rFonts w:ascii="Times New Roman" w:hAnsi="Times New Roman"/>
          <w:b/>
          <w:sz w:val="20"/>
        </w:rPr>
        <w:t>Voting Shares</w:t>
      </w:r>
      <w:r>
        <w:rPr>
          <w:rFonts w:ascii="Times New Roman" w:hAnsi="Times New Roman"/>
          <w:sz w:val="20"/>
        </w:rPr>
        <w:t>", and each, a "</w:t>
      </w:r>
      <w:r>
        <w:rPr>
          <w:rFonts w:ascii="Times New Roman" w:hAnsi="Times New Roman"/>
          <w:b/>
          <w:sz w:val="20"/>
        </w:rPr>
        <w:t>Voting Share</w:t>
      </w:r>
      <w:r>
        <w:rPr>
          <w:rFonts w:ascii="Times New Roman" w:hAnsi="Times New Roman"/>
          <w:sz w:val="20"/>
        </w:rPr>
        <w:t>") which are issued and outstanding at the Record Time, and to any Voting Shares issued after the Record Time and prior to the earlier of the Separation Time and the Expiration Time.</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Certificates representing Voting Shares issued prior to the earlier of the Separation Time and the Expiration Time will also evidence one Right for each Voting Share and, following the effective date of the Rights Agreement, will include a legend referencing the Rights Agreement. Voting Shares issued and registered in Book Entry Form will similarly evidence, in addition to Voting Shares, one Right for each Voting Share, and the registration record of such Voting Shares will include a legend referencing the Rights Agreement (adapted accordingly as the Rights Agent may reasonably require).</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Exercise Price; Exercise Rights; Detachment of Rights</w:t>
      </w:r>
      <w:r>
        <w:rPr>
          <w:rFonts w:ascii="Times New Roman" w:hAnsi="Times New Roman"/>
          <w:b/>
          <w:sz w:val="20"/>
        </w:rPr>
        <w:t>.</w:t>
      </w:r>
      <w:r>
        <w:rPr>
          <w:rFonts w:ascii="Times New Roman" w:hAnsi="Times New Roman"/>
          <w:sz w:val="20"/>
        </w:rPr>
        <w:t xml:space="preserve"> Subject to certain adjustments, each Right will entitle the holder thereof, from and after the Separation Time and prior to the Expiration Time, to purchase one common share of the Corporation, including any future subdivisions, consolidations, reclassifications or changes (collectively, "</w:t>
      </w:r>
      <w:r>
        <w:rPr>
          <w:rFonts w:ascii="Times New Roman" w:hAnsi="Times New Roman"/>
          <w:b/>
          <w:sz w:val="20"/>
        </w:rPr>
        <w:t>Common Shares</w:t>
      </w:r>
      <w:r>
        <w:rPr>
          <w:rFonts w:ascii="Times New Roman" w:hAnsi="Times New Roman"/>
          <w:sz w:val="20"/>
        </w:rPr>
        <w:t>", and each, a "</w:t>
      </w:r>
      <w:r>
        <w:rPr>
          <w:rFonts w:ascii="Times New Roman" w:hAnsi="Times New Roman"/>
          <w:b/>
          <w:sz w:val="20"/>
        </w:rPr>
        <w:t>Common Share</w:t>
      </w:r>
      <w:r>
        <w:rPr>
          <w:rFonts w:ascii="Times New Roman" w:hAnsi="Times New Roman"/>
          <w:sz w:val="20"/>
        </w:rPr>
        <w:t>"), for the "Exercise Price", which (subject to any adjustments under the Rights Agreement) is defined as:</w:t>
      </w:r>
    </w:p>
    <w:p>
      <w:pPr>
        <w:pStyle w:val="HorizontalLine"/>
        <w:pBdr>
          <w:bottom w:val="double" w:sz="2" w:space="0" w:color="808080"/>
        </w:pBdr>
        <w:bidi w:val="0"/>
        <w:spacing w:before="0" w:after="283"/>
        <w:jc w:val="left"/>
        <w:rPr/>
      </w:pPr>
      <w:r>
        <w:rPr/>
      </w:r>
    </w:p>
    <w:p>
      <w:pPr>
        <w:pStyle w:val="TextBody"/>
        <w:numPr>
          <w:ilvl w:val="0"/>
          <w:numId w:val="2"/>
        </w:numPr>
        <w:pBdr/>
        <w:shd w:fill="FFFFFF" w:val="clear"/>
        <w:tabs>
          <w:tab w:val="clear" w:pos="1134"/>
          <w:tab w:val="left" w:pos="1441" w:leader="none"/>
        </w:tabs>
        <w:bidi w:val="0"/>
        <w:ind w:left="1441" w:right="0" w:hanging="283"/>
        <w:jc w:val="both"/>
        <w:rPr>
          <w:rFonts w:ascii="Times New Roman" w:hAnsi="Times New Roman"/>
          <w:sz w:val="20"/>
        </w:rPr>
      </w:pPr>
      <w:bookmarkStart w:id="6" w:name="page_5"/>
      <w:bookmarkEnd w:id="6"/>
      <w:r>
        <w:rPr>
          <w:rFonts w:ascii="Times New Roman" w:hAnsi="Times New Roman"/>
          <w:sz w:val="20"/>
        </w:rPr>
        <w:t>until the Separation Time, an amount equal to three times the average of the daily closing prices per Common Share over the 20 consecutive trading days before the date of determination, per Common Share (the "</w:t>
      </w:r>
      <w:r>
        <w:rPr>
          <w:rFonts w:ascii="Times New Roman" w:hAnsi="Times New Roman"/>
          <w:b/>
          <w:sz w:val="20"/>
        </w:rPr>
        <w:t>Market Price</w:t>
      </w:r>
      <w:r>
        <w:rPr>
          <w:rFonts w:ascii="Times New Roman" w:hAnsi="Times New Roman"/>
          <w:sz w:val="20"/>
        </w:rPr>
        <w:t xml:space="preserve">"); and </w:t>
      </w:r>
    </w:p>
    <w:p>
      <w:pPr>
        <w:pStyle w:val="TextBody"/>
        <w:numPr>
          <w:ilvl w:val="0"/>
          <w:numId w:val="3"/>
        </w:numPr>
        <w:pBdr/>
        <w:shd w:fill="FFFFFF" w:val="clear"/>
        <w:tabs>
          <w:tab w:val="clear" w:pos="1134"/>
          <w:tab w:val="left" w:pos="1441" w:leader="none"/>
        </w:tabs>
        <w:bidi w:val="0"/>
        <w:ind w:left="1441" w:right="0" w:hanging="283"/>
        <w:jc w:val="both"/>
        <w:rPr>
          <w:rFonts w:ascii="Times New Roman" w:hAnsi="Times New Roman"/>
          <w:sz w:val="20"/>
        </w:rPr>
      </w:pPr>
      <w:r>
        <w:rPr>
          <w:rFonts w:ascii="Times New Roman" w:hAnsi="Times New Roman"/>
          <w:sz w:val="20"/>
        </w:rPr>
        <w:t xml:space="preserve">from and after the Separation Time, an amount equal to three times the Market Price, as at the Separation Time, per Common Share. </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Pursuant to the Rights Agreement, a Permitted Bid is defined as a Take-over Bid made by an Offeror to all shareholders of the Corporation (excluding the Offeror) by way of a take-over bid circular; provided, however, that the Take-over Bid remains open for at least 105 days (or such permitted shorter minimum period) and can only take up Voting Shares and/or Convertible Securities (which are defined as securities issued by the Corporation that allow the holder to acquire Voting Shares or other securities that can be converted into Voting Shares) if more than 50% of the Voting Shares held by Independent Shareholders have been deposited and not withdrawn. Such Take-over Bid must allow for shareholders of the Corporation to tender or withdraw their securities at any time before they are taken up and paid for. If the condition that more than 50% of the Voting Shares held by Independent Shareholders have been deposited is met, the Offeror must publicly announce that fact and have the Take-over Bid remain open for deposits for at least 10 days from the date of such public announcement. If a Take-over Bid fails to meet any such conditions at any time, it ceases to be a Permitted Bid.</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Rights Agreement defines a "</w:t>
      </w:r>
      <w:r>
        <w:rPr>
          <w:rFonts w:ascii="Times New Roman" w:hAnsi="Times New Roman"/>
          <w:b/>
          <w:sz w:val="20"/>
        </w:rPr>
        <w:t>Competing Permitted Bid</w:t>
      </w:r>
      <w:r>
        <w:rPr>
          <w:rFonts w:ascii="Times New Roman" w:hAnsi="Times New Roman"/>
          <w:sz w:val="20"/>
        </w:rPr>
        <w:t>" as a Take-over Bid made after a Permitted Bid or another Competing Permitted Bid and before their expiry, termination or withdrawal of such Permitted Bid or Competing Permitted Bid. A Competing Permitted Bid is subject to the same criteria as a Permitted Bid, other than the 105-day minimum deposit period requirement. A Competing Permitted Bid must include a condition that no securities will be taken up or paid for pursuant to such Take-over Bid prior to the Close of Business on the last day of the minimum initial deposit period that such Take-over Bid must remain open for deposits of securities thereunder pursuant to National Instrument 62-104 - Take-Over Bids and Issuer Bids after the date of the Take-over Bid constituting the Competing Permitted Bid. If a Take-over Bid fails to meet any such conditions at any time, it ceases to be a Competing Permitted Bid.</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Rights are not exercisable until the Separation Time, which occurs, subject to certain exceptions, at the later of (A) the Record Time and (B) the Close of Business on the tenth trading day after the earlier of (as the case may be, the "</w:t>
      </w:r>
      <w:r>
        <w:rPr>
          <w:rFonts w:ascii="Times New Roman" w:hAnsi="Times New Roman"/>
          <w:b/>
          <w:sz w:val="20"/>
        </w:rPr>
        <w:t>Separation Time</w:t>
      </w:r>
      <w:r>
        <w:rPr>
          <w:rFonts w:ascii="Times New Roman" w:hAnsi="Times New Roman"/>
          <w:sz w:val="20"/>
        </w:rPr>
        <w:t>"):</w:t>
      </w:r>
    </w:p>
    <w:p>
      <w:pPr>
        <w:pStyle w:val="TextBody"/>
        <w:numPr>
          <w:ilvl w:val="0"/>
          <w:numId w:val="4"/>
        </w:numPr>
        <w:pBdr/>
        <w:shd w:fill="FFFFFF" w:val="clea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the first date of public announcement or disclosure by the Corporation or an "</w:t>
      </w:r>
      <w:r>
        <w:rPr>
          <w:rFonts w:ascii="Times New Roman" w:hAnsi="Times New Roman"/>
          <w:b/>
          <w:sz w:val="20"/>
        </w:rPr>
        <w:t>Acquiring Person</w:t>
      </w:r>
      <w:r>
        <w:rPr>
          <w:rFonts w:ascii="Times New Roman" w:hAnsi="Times New Roman"/>
          <w:sz w:val="20"/>
        </w:rPr>
        <w:t>", which is defined as a Person who is the Beneficial Owner of 20% or more of the then-outstanding Voting Shares (subject to certain exceptions, including those described below), of facts indicating that a Person has become an Acquiring Person (the "</w:t>
      </w:r>
      <w:r>
        <w:rPr>
          <w:rFonts w:ascii="Times New Roman" w:hAnsi="Times New Roman"/>
          <w:b/>
          <w:sz w:val="20"/>
        </w:rPr>
        <w:t>Share Acquisition Date</w:t>
      </w:r>
      <w:r>
        <w:rPr>
          <w:rFonts w:ascii="Times New Roman" w:hAnsi="Times New Roman"/>
          <w:sz w:val="20"/>
        </w:rPr>
        <w:t xml:space="preserve">"); </w:t>
      </w:r>
    </w:p>
    <w:p>
      <w:pPr>
        <w:pStyle w:val="TextBody"/>
        <w:numPr>
          <w:ilvl w:val="0"/>
          <w:numId w:val="5"/>
        </w:numPr>
        <w:pBdr/>
        <w:shd w:fill="FFFFFF" w:val="clea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 xml:space="preserve">the date of the commencement of, or first public announcement or disclosure of the intent of any Person (other than the Corporation or any subsidiary thereof) to commence, a Take-over Bid (other than a Permitted Bid or Competing Permitted Bid, so long as such Take-over Bid continues to satisfy the requirements of a Permitted Bid or Competing Permitted Bid), and </w:t>
      </w:r>
    </w:p>
    <w:p>
      <w:pPr>
        <w:pStyle w:val="TextBody"/>
        <w:numPr>
          <w:ilvl w:val="0"/>
          <w:numId w:val="6"/>
        </w:numPr>
        <w:pBdr/>
        <w:shd w:fill="FFFFFF" w:val="clea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 xml:space="preserve">the date on which a Permitted Bid or Competing Permitted Bid ceases to qualify as a Permitted Bid or Competing Permitted Bid, as applicable, </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or such later date as may be determined by the Board in good faith.</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An Acquiring Person does not include:</w:t>
      </w:r>
    </w:p>
    <w:p>
      <w:pPr>
        <w:pStyle w:val="TextBody"/>
        <w:numPr>
          <w:ilvl w:val="0"/>
          <w:numId w:val="7"/>
        </w:numPr>
        <w:pBdr/>
        <w:shd w:fill="FFFFFF" w:val="clea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 xml:space="preserve">the Corporation or any subsidiary thereof; </w:t>
      </w:r>
    </w:p>
    <w:p>
      <w:pPr>
        <w:pStyle w:val="TextBody"/>
        <w:numPr>
          <w:ilvl w:val="0"/>
          <w:numId w:val="8"/>
        </w:numPr>
        <w:pBdr/>
        <w:shd w:fill="FFFFFF" w:val="clea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 xml:space="preserve">any Person (subject to certain limitations) who becomes the Beneficial Owner of 20% or more of the then outstanding Voting Shares as a result of any one or a combination of: </w:t>
      </w:r>
    </w:p>
    <w:p>
      <w:pPr>
        <w:pStyle w:val="HorizontalLine"/>
        <w:pBdr>
          <w:bottom w:val="double" w:sz="2" w:space="0" w:color="808080"/>
        </w:pBdr>
        <w:bidi w:val="0"/>
        <w:spacing w:before="0" w:after="283"/>
        <w:jc w:val="left"/>
        <w:rPr/>
      </w:pPr>
      <w:r>
        <w:rPr/>
      </w:r>
    </w:p>
    <w:p>
      <w:pPr>
        <w:pStyle w:val="TextBody"/>
        <w:numPr>
          <w:ilvl w:val="0"/>
          <w:numId w:val="9"/>
        </w:numPr>
        <w:pBdr/>
        <w:shd w:fill="FFFFFF" w:val="clear"/>
        <w:tabs>
          <w:tab w:val="clear" w:pos="1134"/>
          <w:tab w:val="left" w:pos="2549" w:leader="none"/>
        </w:tabs>
        <w:bidi w:val="0"/>
        <w:ind w:left="2549" w:right="0" w:hanging="283"/>
        <w:jc w:val="both"/>
        <w:rPr>
          <w:rFonts w:ascii="Times New Roman" w:hAnsi="Times New Roman"/>
          <w:sz w:val="20"/>
        </w:rPr>
      </w:pPr>
      <w:bookmarkStart w:id="7" w:name="page_6"/>
      <w:bookmarkEnd w:id="7"/>
      <w:r>
        <w:rPr>
          <w:rFonts w:ascii="Times New Roman" w:hAnsi="Times New Roman"/>
          <w:sz w:val="20"/>
        </w:rPr>
        <w:t xml:space="preserve">an acquisition or redemption by the Corporation of Voting Shares and/or Convertible Securities which, by reducing the then-total number of outstanding Voting Shares or Convertible Securities, increases the proportionate percentage of Voting Shares Beneficially Owned by any Person; </w:t>
      </w:r>
    </w:p>
    <w:p>
      <w:pPr>
        <w:pStyle w:val="TextBody"/>
        <w:numPr>
          <w:ilvl w:val="0"/>
          <w:numId w:val="10"/>
        </w:numPr>
        <w:pBdr/>
        <w:shd w:fill="FFFFFF" w:val="clear"/>
        <w:tabs>
          <w:tab w:val="clear" w:pos="1134"/>
          <w:tab w:val="left" w:pos="2549" w:leader="none"/>
        </w:tabs>
        <w:bidi w:val="0"/>
        <w:ind w:left="2549" w:right="0" w:hanging="283"/>
        <w:jc w:val="both"/>
        <w:rPr>
          <w:rFonts w:ascii="Times New Roman" w:hAnsi="Times New Roman"/>
          <w:sz w:val="20"/>
        </w:rPr>
      </w:pPr>
      <w:r>
        <w:rPr>
          <w:rFonts w:ascii="Times New Roman" w:hAnsi="Times New Roman"/>
          <w:sz w:val="20"/>
        </w:rPr>
        <w:t>the purchase of Voting Shares and/or Convertible Securities under a Permitted Bid or Competing Permitted Bid (a "</w:t>
      </w:r>
      <w:r>
        <w:rPr>
          <w:rFonts w:ascii="Times New Roman" w:hAnsi="Times New Roman"/>
          <w:b/>
          <w:sz w:val="20"/>
        </w:rPr>
        <w:t>Permitted Bid Acquisition</w:t>
      </w:r>
      <w:r>
        <w:rPr>
          <w:rFonts w:ascii="Times New Roman" w:hAnsi="Times New Roman"/>
          <w:sz w:val="20"/>
        </w:rPr>
        <w:t xml:space="preserve">"); </w:t>
      </w:r>
    </w:p>
    <w:p>
      <w:pPr>
        <w:pStyle w:val="TextBody"/>
        <w:numPr>
          <w:ilvl w:val="0"/>
          <w:numId w:val="11"/>
        </w:numPr>
        <w:pBdr/>
        <w:shd w:fill="FFFFFF" w:val="clear"/>
        <w:tabs>
          <w:tab w:val="clear" w:pos="1134"/>
          <w:tab w:val="left" w:pos="2549" w:leader="none"/>
        </w:tabs>
        <w:bidi w:val="0"/>
        <w:ind w:left="2549" w:right="0" w:hanging="283"/>
        <w:jc w:val="both"/>
        <w:rPr>
          <w:rFonts w:ascii="Times New Roman" w:hAnsi="Times New Roman"/>
          <w:sz w:val="20"/>
        </w:rPr>
      </w:pPr>
      <w:r>
        <w:rPr>
          <w:rFonts w:ascii="Times New Roman" w:hAnsi="Times New Roman"/>
          <w:sz w:val="20"/>
        </w:rPr>
        <w:t>an acquisition by a Person of Voting Shares and/or Convertible Securities (i) in respect of which the Board has waived the application and consequences of a transaction pursuant to which any Person becomes an Acquiring Person (a "</w:t>
      </w:r>
      <w:r>
        <w:rPr>
          <w:rFonts w:ascii="Times New Roman" w:hAnsi="Times New Roman"/>
          <w:b/>
          <w:sz w:val="20"/>
        </w:rPr>
        <w:t>Flip-in Event</w:t>
      </w:r>
      <w:r>
        <w:rPr>
          <w:rFonts w:ascii="Times New Roman" w:hAnsi="Times New Roman"/>
          <w:sz w:val="20"/>
        </w:rPr>
        <w:t>"); (ii) made as an intermediate step in a series of related transactions in connection with an acquisition by the Corporation or one of its subsidiaries of a Person or assets (subject to certain requirements); or (iii) through an amalgamation, merger, arrangement, business combination or other similar transaction that has been approved by the Board and that is conditional upon shareholder approval (each such acquisition, an "</w:t>
      </w:r>
      <w:r>
        <w:rPr>
          <w:rFonts w:ascii="Times New Roman" w:hAnsi="Times New Roman"/>
          <w:b/>
          <w:sz w:val="20"/>
        </w:rPr>
        <w:t>Exempt Acquisition</w:t>
      </w:r>
      <w:r>
        <w:rPr>
          <w:rFonts w:ascii="Times New Roman" w:hAnsi="Times New Roman"/>
          <w:sz w:val="20"/>
        </w:rPr>
        <w:t xml:space="preserve">"); </w:t>
      </w:r>
    </w:p>
    <w:p>
      <w:pPr>
        <w:pStyle w:val="TextBody"/>
        <w:numPr>
          <w:ilvl w:val="0"/>
          <w:numId w:val="12"/>
        </w:numPr>
        <w:pBdr/>
        <w:shd w:fill="FFFFFF" w:val="clear"/>
        <w:tabs>
          <w:tab w:val="clear" w:pos="1134"/>
          <w:tab w:val="left" w:pos="2549" w:leader="none"/>
        </w:tabs>
        <w:bidi w:val="0"/>
        <w:ind w:left="2549" w:right="0" w:hanging="283"/>
        <w:jc w:val="both"/>
        <w:rPr>
          <w:rFonts w:ascii="Times New Roman" w:hAnsi="Times New Roman"/>
          <w:sz w:val="20"/>
        </w:rPr>
      </w:pPr>
      <w:r>
        <w:rPr>
          <w:rFonts w:ascii="Times New Roman" w:hAnsi="Times New Roman"/>
          <w:sz w:val="20"/>
        </w:rPr>
        <w:t xml:space="preserve">an acquisition by a Person of Voting Shares through the purchase, exercise, conversion or exchange of Convertible Securities that were acquired or received by such Person pursuant to a Permitted Bid Acquisition, an Exempt Acquisition or a Pro Rata Acquisition; or </w:t>
      </w:r>
    </w:p>
    <w:p>
      <w:pPr>
        <w:pStyle w:val="TextBody"/>
        <w:numPr>
          <w:ilvl w:val="0"/>
          <w:numId w:val="13"/>
        </w:numPr>
        <w:pBdr/>
        <w:shd w:fill="FFFFFF" w:val="clear"/>
        <w:tabs>
          <w:tab w:val="clear" w:pos="1134"/>
          <w:tab w:val="left" w:pos="2549" w:leader="none"/>
        </w:tabs>
        <w:bidi w:val="0"/>
        <w:ind w:left="2549" w:right="0" w:hanging="283"/>
        <w:jc w:val="both"/>
        <w:rPr>
          <w:rFonts w:ascii="Times New Roman" w:hAnsi="Times New Roman"/>
          <w:sz w:val="20"/>
        </w:rPr>
      </w:pPr>
      <w:r>
        <w:rPr>
          <w:rFonts w:ascii="Times New Roman" w:hAnsi="Times New Roman"/>
          <w:sz w:val="20"/>
        </w:rPr>
        <w:t>an acquisition by a Person of Voting Shares and/or Convertible Securities pursuant to: (i) a prescribed dividend reinvestment plan; (ii) a stock dividend, stock split or other event pursuant to which such Person becomes the Beneficial Owner of Voting Shares and/or Convertible Securities on the same pro rata basis as all other holders of Voting Shares of the same class or series; (iii) the acquisition or exercise of rights to purchase Voting Shares and/or Convertible Securities that are distributed directly by the Corporation to such Person as part of a rights offering to all holders of a specific class or series of securities; provided, however, in each case, that such Person does not thereby acquire a greater percentage of Voting Shares or Convertible Securities than they owned prior to the acquisition; or (iv) a distribution of Voting Shares and/or Convertible Securities pursuant to a prospectus, private placement, conversion or exchange of any Convertible Security (each such acquisition, a "</w:t>
      </w:r>
      <w:r>
        <w:rPr>
          <w:rFonts w:ascii="Times New Roman" w:hAnsi="Times New Roman"/>
          <w:b/>
          <w:sz w:val="20"/>
        </w:rPr>
        <w:t>Pro Rata Acquisition</w:t>
      </w:r>
      <w:r>
        <w:rPr>
          <w:rFonts w:ascii="Times New Roman" w:hAnsi="Times New Roman"/>
          <w:sz w:val="20"/>
        </w:rPr>
        <w:t xml:space="preserve">"); </w:t>
      </w:r>
    </w:p>
    <w:p>
      <w:pPr>
        <w:pStyle w:val="TextBody"/>
        <w:numPr>
          <w:ilvl w:val="0"/>
          <w:numId w:val="14"/>
        </w:numPr>
        <w:pBdr/>
        <w:shd w:fill="FFFFFF" w:val="clea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for a period of five (5) days following the Disqualification Date (as defined below), any Person who becomes the Beneficial Owner of 20% or more of the outstanding Voting Shares due to disqualification from relying on certain Beneficial Owner exceptions solely because such Person is making or has announced a current intention to make a Take-over Bid (the "</w:t>
      </w:r>
      <w:r>
        <w:rPr>
          <w:rFonts w:ascii="Times New Roman" w:hAnsi="Times New Roman"/>
          <w:b/>
          <w:sz w:val="20"/>
        </w:rPr>
        <w:t>Disqualification Date</w:t>
      </w:r>
      <w:r>
        <w:rPr>
          <w:rFonts w:ascii="Times New Roman" w:hAnsi="Times New Roman"/>
          <w:sz w:val="20"/>
        </w:rPr>
        <w:t xml:space="preserve">"), unless such disqualified Person, during such five (5)-day period, acquires additional Voting Shares; </w:t>
      </w:r>
    </w:p>
    <w:p>
      <w:pPr>
        <w:pStyle w:val="TextBody"/>
        <w:numPr>
          <w:ilvl w:val="0"/>
          <w:numId w:val="15"/>
        </w:numPr>
        <w:pBdr/>
        <w:shd w:fill="FFFFFF" w:val="clea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 xml:space="preserve">an underwriter or a member of a banking or selling group that becomes the Beneficial Owner of 20% or more of the Voting Shares in connection with a distribution of securities of the Corporation pursuant to a prospectus or by way of a private placement; or </w:t>
      </w:r>
    </w:p>
    <w:p>
      <w:pPr>
        <w:pStyle w:val="TextBody"/>
        <w:numPr>
          <w:ilvl w:val="0"/>
          <w:numId w:val="16"/>
        </w:numPr>
        <w:pBdr/>
        <w:tabs>
          <w:tab w:val="clear" w:pos="1134"/>
          <w:tab w:val="left" w:pos="1801" w:leader="none"/>
        </w:tabs>
        <w:bidi w:val="0"/>
        <w:ind w:left="1801" w:right="0" w:hanging="283"/>
        <w:jc w:val="both"/>
        <w:rPr>
          <w:rFonts w:ascii="Times New Roman" w:hAnsi="Times New Roman"/>
          <w:sz w:val="20"/>
        </w:rPr>
      </w:pPr>
      <w:r>
        <w:rPr>
          <w:rFonts w:ascii="Times New Roman" w:hAnsi="Times New Roman"/>
          <w:sz w:val="20"/>
        </w:rPr>
        <w:t xml:space="preserve">a Person who Beneficially Owns more than 20% of the outstanding Voting Shares at the time of the public announcement of the Rights Agreement; provided, however, that this exception ceases to apply if, after such public announcement, such Person (i) ceases to own more than 20% of the outstanding Voting Shares or (ii) becomes the Beneficial Owner of any additional Voting Shares, other than pursuant to certain specified exempt acquisitions. </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Rights Agreement also provides that a Person who would otherwise become an Acquiring Person inadvertently and without any intention of changing or influencing control of the Corporation will not be deemed to be or to have become an Acquiring Person if the Board makes the determinations and such Person takes the remedial actions specified in the Rights Agreement, including promptly divesting sufficient Voting Shares or, in the case of certain derivative positions, terminating or disposing of the applicable derivative position. The Board may waive the applicable divestiture requirement on such terms and conditions as it determines in good faith are advisable.</w:t>
      </w:r>
    </w:p>
    <w:p>
      <w:pPr>
        <w:pStyle w:val="HorizontalLine"/>
        <w:pBdr>
          <w:bottom w:val="double" w:sz="2" w:space="0" w:color="808080"/>
        </w:pBdr>
        <w:bidi w:val="0"/>
        <w:spacing w:before="0" w:after="283"/>
        <w:jc w:val="left"/>
        <w:rPr/>
      </w:pPr>
      <w:r>
        <w:rPr/>
      </w:r>
    </w:p>
    <w:p>
      <w:pPr>
        <w:pStyle w:val="TextBody"/>
        <w:shd w:fill="FFFFFF" w:val="clear"/>
        <w:bidi w:val="0"/>
        <w:spacing w:before="200" w:after="200"/>
        <w:ind w:left="0" w:right="0" w:firstLine="540"/>
        <w:jc w:val="both"/>
        <w:rPr>
          <w:rFonts w:ascii="Times New Roman" w:hAnsi="Times New Roman"/>
          <w:sz w:val="20"/>
        </w:rPr>
      </w:pPr>
      <w:bookmarkStart w:id="8" w:name="page_7"/>
      <w:bookmarkEnd w:id="8"/>
      <w:r>
        <w:rPr>
          <w:rFonts w:ascii="Times New Roman" w:hAnsi="Times New Roman"/>
          <w:sz w:val="20"/>
        </w:rPr>
        <w:t>Until the Separation Time, each Right will be evidenced by the certificate for the associated Voting Share registered in the name of the holder, or by Book Entry Form for the associated Voting Share, and will be transferable only together with such Voting Share. From and after the Separation Time and prior to the Expiration Time, the registration and transfer of Rights will be separate from and independent of Voting Shares.</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 xml:space="preserve">Expiration Time. </w:t>
      </w:r>
      <w:r>
        <w:rPr>
          <w:rFonts w:ascii="Times New Roman" w:hAnsi="Times New Roman"/>
          <w:sz w:val="20"/>
        </w:rPr>
        <w:t>The Rights will expire at the earliest of (i) the time at which the right to exercise the Rights terminates pursuant to the redemption, waiver or termination provisions of the Rights Agreement, (ii) the time at which the Rights are exchanged as described below and (iii) the Close of Business on August 10, 2027 (the "</w:t>
      </w:r>
      <w:r>
        <w:rPr>
          <w:rFonts w:ascii="Times New Roman" w:hAnsi="Times New Roman"/>
          <w:b/>
          <w:sz w:val="20"/>
        </w:rPr>
        <w:t>Expiration Time</w:t>
      </w:r>
      <w:r>
        <w:rPr>
          <w:rFonts w:ascii="Times New Roman" w:hAnsi="Times New Roman"/>
          <w:sz w:val="20"/>
        </w:rPr>
        <w:t>").</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Flip-in Event</w:t>
      </w:r>
      <w:r>
        <w:rPr>
          <w:rFonts w:ascii="Times New Roman" w:hAnsi="Times New Roman"/>
          <w:b/>
          <w:sz w:val="20"/>
        </w:rPr>
        <w:t>.</w:t>
      </w:r>
      <w:r>
        <w:rPr>
          <w:rFonts w:ascii="Times New Roman" w:hAnsi="Times New Roman"/>
          <w:sz w:val="20"/>
        </w:rPr>
        <w:t xml:space="preserve"> Subject to certain exceptions, in the event that prior to the Expiration Time a Flip-in Event occurs, each holder of a Right (other than the Acquiring Person, any of its affiliates or associates or certain transferees of such Acquiring Person or of any such affiliate or associate, whose Rights automatically become null and void), will have the right to purchase, for the Exercise Price, Common Shares having a value equal to two times the Exercise Price of the Right, effective from and after the Close of Business on the tenth trading day following the Share Acquisition Date.</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Exchange</w:t>
      </w:r>
      <w:r>
        <w:rPr>
          <w:rFonts w:ascii="Times New Roman" w:hAnsi="Times New Roman"/>
          <w:sz w:val="20"/>
        </w:rPr>
        <w:t>. At any time after a Flip-in Event, the Board may, at its option, exchange all or part of the then outstanding and exercisable Rights, other than Rights that have become null and void, for Common Shares at an exchange ratio of one Common Share per Right, subject to customary adjustment. The Board may not effect such an exchange after an Acquiring Person, together with its affiliates and associates, becomes the Beneficial Owner of 50% or more of the outstanding Common Shares. Immediately following the Board's determination to effect an exchange, the right to exercise the Rights subject to the exchange will terminate, and the holders of such Rights will thereafter only be entitled to receive the applicable Common Shares.</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Adjustments to Exercise Price; Number of Rights</w:t>
      </w:r>
      <w:r>
        <w:rPr>
          <w:rFonts w:ascii="Times New Roman" w:hAnsi="Times New Roman"/>
          <w:b/>
          <w:sz w:val="20"/>
        </w:rPr>
        <w:t>.</w:t>
      </w:r>
      <w:r>
        <w:rPr>
          <w:rFonts w:ascii="Times New Roman" w:hAnsi="Times New Roman"/>
          <w:sz w:val="20"/>
        </w:rPr>
        <w:t xml:space="preserve"> The Exercise Price, the number and kind of securities subject to purchase upon exercise of each Right and the number of Rights outstanding are subject to customary anti-dilution adjustments, as described in the Rights Agreement.</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With certain exceptions, no adjustment in the Exercise Price will be required unless such adjustment would require an increase or decrease of at least 1% in such Exercise Price. No fractional Rights will be issued. No fractional Common Shares will be issued upon exercise of the Rights; in lieu thereof, the Corporation will pay a cash adjustment based on the Market Price of one Common Share at the date of such exercise.</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Redemption</w:t>
      </w:r>
      <w:r>
        <w:rPr>
          <w:rFonts w:ascii="Times New Roman" w:hAnsi="Times New Roman"/>
          <w:b/>
          <w:sz w:val="20"/>
        </w:rPr>
        <w:t>.</w:t>
      </w:r>
      <w:r>
        <w:rPr>
          <w:rFonts w:ascii="Times New Roman" w:hAnsi="Times New Roman"/>
          <w:sz w:val="20"/>
        </w:rPr>
        <w:t xml:space="preserve"> At any time prior to the later of the Share Acquisition Date and the Separation Time, the Board acting in good faith may elect, subject to the prior consent of the holders of Voting Shares or Rights, to redeem all but not less than all of the then outstanding Rights at a redemption price of $0.00001 per Right, subject to adjustment (the "</w:t>
      </w:r>
      <w:r>
        <w:rPr>
          <w:rFonts w:ascii="Times New Roman" w:hAnsi="Times New Roman"/>
          <w:b/>
          <w:sz w:val="20"/>
        </w:rPr>
        <w:t>Redemption Price</w:t>
      </w:r>
      <w:r>
        <w:rPr>
          <w:rFonts w:ascii="Times New Roman" w:hAnsi="Times New Roman"/>
          <w:sz w:val="20"/>
        </w:rPr>
        <w:t>"). If the Board elects or is deemed to have elected to redeem the Rights, the right to exercise the Rights will immediately terminate and the only right of the holders of such Rights will be to receive the Redemption Price.</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Amendments</w:t>
      </w:r>
      <w:r>
        <w:rPr>
          <w:rFonts w:ascii="Times New Roman" w:hAnsi="Times New Roman"/>
          <w:b/>
          <w:sz w:val="20"/>
        </w:rPr>
        <w:t>.</w:t>
      </w:r>
      <w:r>
        <w:rPr>
          <w:rFonts w:ascii="Times New Roman" w:hAnsi="Times New Roman"/>
          <w:sz w:val="20"/>
        </w:rPr>
        <w:t xml:space="preserve"> Subject to certain limitations, the Corporation may from time to time amend, supplement, restate or delete provisions of the Rights Agreement with the prior consent of the shareholders of the Corporation or holders of the Rights; provided, however, that amendments, supplements, restatements or deletions made for the purposes of complying with changes in any applicable legislation, regulations or rules, or to correct clerical or typographical errors do not require such prior approval but shall be subject to subsequent ratification by the shareholders of the Corporation or the holders of Rights.</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b/>
          <w:i/>
          <w:sz w:val="20"/>
        </w:rPr>
        <w:t>Miscellaneous</w:t>
      </w:r>
      <w:r>
        <w:rPr>
          <w:rFonts w:ascii="Times New Roman" w:hAnsi="Times New Roman"/>
          <w:b/>
          <w:sz w:val="20"/>
        </w:rPr>
        <w:t>.</w:t>
      </w:r>
      <w:r>
        <w:rPr>
          <w:rFonts w:ascii="Times New Roman" w:hAnsi="Times New Roman"/>
          <w:sz w:val="20"/>
        </w:rPr>
        <w:t xml:space="preserve"> No holder of any Rights will be entitled to vote, receive dividends or be deemed for any purpose the holder of Common Shares or any other securities which may at any time be issuable on the exercise of Rights. Capitalized terms used but not defined in this Item 3.03 have the meanings ascribed to them in the Rights Agreement.</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foregoing description of the Rights Agreement and the Rights does not purport to be complete and is qualified in its entirety by reference to the Rights Agreement, which is filed as Exhibit 4.1 to this Current Report and is incorporated herein by reference.</w:t>
      </w:r>
    </w:p>
    <w:p>
      <w:pPr>
        <w:pStyle w:val="HorizontalLine"/>
        <w:pBdr>
          <w:bottom w:val="double" w:sz="2" w:space="0" w:color="808080"/>
        </w:pBdr>
        <w:bidi w:val="0"/>
        <w:spacing w:before="0" w:after="283"/>
        <w:jc w:val="left"/>
        <w:rPr/>
      </w:pPr>
      <w:r>
        <w:rPr/>
      </w:r>
    </w:p>
    <w:p>
      <w:pPr>
        <w:pStyle w:val="TextBody"/>
        <w:shd w:fill="FFFFFF" w:val="clear"/>
        <w:bidi w:val="0"/>
        <w:spacing w:before="200" w:after="200"/>
        <w:jc w:val="both"/>
        <w:rPr>
          <w:rFonts w:ascii="Times New Roman" w:hAnsi="Times New Roman"/>
          <w:b/>
          <w:sz w:val="20"/>
        </w:rPr>
      </w:pPr>
      <w:bookmarkStart w:id="9" w:name="page_8"/>
      <w:bookmarkEnd w:id="9"/>
      <w:r>
        <w:rPr>
          <w:rFonts w:ascii="Times New Roman" w:hAnsi="Times New Roman"/>
          <w:b/>
          <w:sz w:val="20"/>
        </w:rPr>
        <w:t>Item 7.01. Regulation FD Disclosure.</w:t>
      </w:r>
    </w:p>
    <w:p>
      <w:pPr>
        <w:pStyle w:val="TextBody"/>
        <w:shd w:fill="FFFFFF" w:val="clear"/>
        <w:bidi w:val="0"/>
        <w:spacing w:before="200" w:after="200"/>
        <w:ind w:left="0" w:right="0" w:firstLine="720"/>
        <w:jc w:val="both"/>
        <w:rPr>
          <w:rFonts w:ascii="Times New Roman" w:hAnsi="Times New Roman"/>
          <w:sz w:val="20"/>
        </w:rPr>
      </w:pPr>
      <w:r>
        <w:rPr>
          <w:rFonts w:ascii="Times New Roman" w:hAnsi="Times New Roman"/>
          <w:sz w:val="20"/>
        </w:rPr>
        <w:t>On August 10, 2026, the Corporation issued a press release announcing the adoption of the Rights Agreement. A copy of that press release is furnished as Exhibit 99.1 to this Current Report on Form 8-K and incorporated herein by reference.</w:t>
      </w:r>
    </w:p>
    <w:p>
      <w:pPr>
        <w:pStyle w:val="TextBody"/>
        <w:shd w:fill="FFFFFF" w:val="clear"/>
        <w:bidi w:val="0"/>
        <w:spacing w:before="200" w:after="200"/>
        <w:ind w:left="0" w:right="0" w:firstLine="720"/>
        <w:jc w:val="both"/>
        <w:rPr>
          <w:rFonts w:ascii="Times New Roman" w:hAnsi="Times New Roman"/>
          <w:sz w:val="20"/>
        </w:rPr>
      </w:pPr>
      <w:r>
        <w:rPr>
          <w:rFonts w:ascii="Times New Roman" w:hAnsi="Times New Roman"/>
          <w:sz w:val="20"/>
        </w:rPr>
        <w:t>The information in this Item 7.01, including Exhibit 99.1, is being furnished and shall not be deemed "filed" for purposes of Section 18 of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pStyle w:val="TextBody"/>
        <w:bidi w:val="0"/>
        <w:spacing w:before="200" w:after="200"/>
        <w:jc w:val="both"/>
        <w:rPr>
          <w:rFonts w:ascii="Times New Roman" w:hAnsi="Times New Roman"/>
          <w:b/>
          <w:sz w:val="20"/>
        </w:rPr>
      </w:pPr>
      <w:r>
        <w:rPr>
          <w:rFonts w:ascii="Times New Roman" w:hAnsi="Times New Roman"/>
          <w:b/>
          <w:sz w:val="20"/>
        </w:rPr>
        <w:t>Item 9.01. Financial Statements and Exhibits</w:t>
      </w:r>
    </w:p>
    <w:tbl>
      <w:tblPr>
        <w:tblW w:w="10205" w:type="dxa"/>
        <w:jc w:val="left"/>
        <w:tblInd w:w="0" w:type="dxa"/>
        <w:tblLayout w:type="fixed"/>
        <w:tblCellMar>
          <w:top w:w="0" w:type="dxa"/>
          <w:left w:w="0" w:type="dxa"/>
          <w:bottom w:w="28" w:type="dxa"/>
          <w:right w:w="0" w:type="dxa"/>
        </w:tblCellMar>
      </w:tblPr>
      <w:tblGrid>
        <w:gridCol w:w="959"/>
        <w:gridCol w:w="60"/>
        <w:gridCol w:w="9186"/>
      </w:tblGrid>
      <w:tr>
        <w:trPr/>
        <w:tc>
          <w:tcPr>
            <w:tcW w:w="959" w:type="dxa"/>
            <w:tcBorders>
              <w:bottom w:val="single" w:sz="6" w:space="0" w:color="000000"/>
            </w:tcBorders>
            <w:vAlign w:val="center"/>
          </w:tcPr>
          <w:p>
            <w:pPr>
              <w:pStyle w:val="TableContents"/>
              <w:bidi w:val="0"/>
              <w:spacing w:before="0" w:after="0"/>
              <w:jc w:val="left"/>
              <w:rPr>
                <w:b/>
              </w:rPr>
            </w:pPr>
            <w:r>
              <w:rPr>
                <w:b/>
              </w:rPr>
              <w:t>Exhibit No.</w:t>
            </w:r>
          </w:p>
        </w:tc>
        <w:tc>
          <w:tcPr>
            <w:tcW w:w="60" w:type="dxa"/>
            <w:tcBorders/>
            <w:tcMar>
              <w:bottom w:w="0" w:type="dxa"/>
            </w:tcMar>
            <w:vAlign w:val="center"/>
          </w:tcPr>
          <w:p>
            <w:pPr>
              <w:pStyle w:val="TableContents"/>
              <w:bidi w:val="0"/>
              <w:spacing w:before="0" w:after="0"/>
              <w:jc w:val="left"/>
              <w:rPr/>
            </w:pPr>
            <w:r>
              <w:rPr/>
              <w:t> </w:t>
            </w:r>
          </w:p>
        </w:tc>
        <w:tc>
          <w:tcPr>
            <w:tcW w:w="9186" w:type="dxa"/>
            <w:tcBorders>
              <w:bottom w:val="single" w:sz="6" w:space="0" w:color="000000"/>
            </w:tcBorders>
            <w:vAlign w:val="center"/>
          </w:tcPr>
          <w:p>
            <w:pPr>
              <w:pStyle w:val="TableContents"/>
              <w:bidi w:val="0"/>
              <w:spacing w:before="0" w:after="0"/>
              <w:jc w:val="left"/>
              <w:rPr>
                <w:b/>
              </w:rPr>
            </w:pPr>
            <w:r>
              <w:rPr>
                <w:b/>
              </w:rPr>
              <w:t>Description</w:t>
            </w:r>
          </w:p>
        </w:tc>
      </w:tr>
      <w:tr>
        <w:trPr/>
        <w:tc>
          <w:tcPr>
            <w:tcW w:w="959" w:type="dxa"/>
            <w:tcBorders/>
            <w:shd w:fill="EEEEEE" w:val="clear"/>
            <w:tcMar>
              <w:bottom w:w="0" w:type="dxa"/>
            </w:tcMar>
            <w:vAlign w:val="center"/>
          </w:tcPr>
          <w:p>
            <w:pPr>
              <w:pStyle w:val="TableContents"/>
              <w:bidi w:val="0"/>
              <w:spacing w:before="0" w:after="0"/>
              <w:jc w:val="left"/>
              <w:rPr/>
            </w:pPr>
            <w:hyperlink w:anchor="exhibit4-1.htm">
              <w:r>
                <w:rPr>
                  <w:rStyle w:val="InternetLink"/>
                </w:rPr>
                <w:t>4.1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186" w:type="dxa"/>
            <w:tcBorders/>
            <w:shd w:fill="EEEEEE" w:val="clear"/>
            <w:tcMar>
              <w:bottom w:w="0" w:type="dxa"/>
            </w:tcMar>
            <w:vAlign w:val="center"/>
          </w:tcPr>
          <w:p>
            <w:pPr>
              <w:pStyle w:val="TableContents"/>
              <w:bidi w:val="0"/>
              <w:spacing w:before="0" w:after="283"/>
              <w:jc w:val="both"/>
              <w:rPr/>
            </w:pPr>
            <w:hyperlink w:anchor="exhibit4-1.htm">
              <w:r>
                <w:rPr>
                  <w:rStyle w:val="InternetLink"/>
                </w:rPr>
                <w:t>Shareholder Rights Plan Agreement, dated as of August 10, 2026, by and between the Corporation and TSX Trust Company, as Rights Agent (which includes the Form of Rights Certificate as Schedule "A" thereto).</w:t>
              </w:r>
            </w:hyperlink>
          </w:p>
        </w:tc>
      </w:tr>
      <w:tr>
        <w:trPr/>
        <w:tc>
          <w:tcPr>
            <w:tcW w:w="959" w:type="dxa"/>
            <w:tcBorders/>
            <w:tcMar>
              <w:bottom w:w="0" w:type="dxa"/>
            </w:tcMar>
            <w:vAlign w:val="center"/>
          </w:tcPr>
          <w:p>
            <w:pPr>
              <w:pStyle w:val="TableContents"/>
              <w:bidi w:val="0"/>
              <w:spacing w:before="0" w:after="0"/>
              <w:jc w:val="left"/>
              <w:rPr/>
            </w:pPr>
            <w:hyperlink w:anchor="exhibit99-1.htm">
              <w:r>
                <w:rPr>
                  <w:rStyle w:val="InternetLink"/>
                </w:rPr>
                <w:t>99.1</w:t>
              </w:r>
            </w:hyperlink>
          </w:p>
        </w:tc>
        <w:tc>
          <w:tcPr>
            <w:tcW w:w="60" w:type="dxa"/>
            <w:tcBorders/>
            <w:tcMar>
              <w:bottom w:w="0" w:type="dxa"/>
            </w:tcMar>
            <w:vAlign w:val="center"/>
          </w:tcPr>
          <w:p>
            <w:pPr>
              <w:pStyle w:val="TableContents"/>
              <w:bidi w:val="0"/>
              <w:spacing w:before="0" w:after="0"/>
              <w:jc w:val="left"/>
              <w:rPr/>
            </w:pPr>
            <w:r>
              <w:rPr/>
              <w:t> </w:t>
            </w:r>
          </w:p>
        </w:tc>
        <w:tc>
          <w:tcPr>
            <w:tcW w:w="9186" w:type="dxa"/>
            <w:tcBorders/>
            <w:tcMar>
              <w:bottom w:w="0" w:type="dxa"/>
            </w:tcMar>
            <w:vAlign w:val="center"/>
          </w:tcPr>
          <w:p>
            <w:pPr>
              <w:pStyle w:val="TableContents"/>
              <w:bidi w:val="0"/>
              <w:spacing w:before="0" w:after="283"/>
              <w:jc w:val="both"/>
              <w:rPr/>
            </w:pPr>
            <w:hyperlink w:anchor="exhibit99-1.htm">
              <w:r>
                <w:rPr>
                  <w:rStyle w:val="InternetLink"/>
                </w:rPr>
                <w:t>Press release dated August 10, 2026.</w:t>
              </w:r>
            </w:hyperlink>
          </w:p>
        </w:tc>
      </w:tr>
      <w:tr>
        <w:trPr/>
        <w:tc>
          <w:tcPr>
            <w:tcW w:w="959" w:type="dxa"/>
            <w:tcBorders/>
            <w:shd w:fill="EEEEEE" w:val="clear"/>
            <w:tcMar>
              <w:bottom w:w="0" w:type="dxa"/>
            </w:tcMar>
            <w:vAlign w:val="center"/>
          </w:tcPr>
          <w:p>
            <w:pPr>
              <w:pStyle w:val="TableContents"/>
              <w:bidi w:val="0"/>
              <w:spacing w:before="0" w:after="0"/>
              <w:jc w:val="left"/>
              <w:rPr/>
            </w:pPr>
            <w:r>
              <w:rPr/>
              <w:t>104</w:t>
            </w:r>
          </w:p>
        </w:tc>
        <w:tc>
          <w:tcPr>
            <w:tcW w:w="60" w:type="dxa"/>
            <w:tcBorders/>
            <w:shd w:fill="EEEEEE" w:val="clear"/>
            <w:tcMar>
              <w:bottom w:w="0" w:type="dxa"/>
            </w:tcMar>
            <w:vAlign w:val="center"/>
          </w:tcPr>
          <w:p>
            <w:pPr>
              <w:pStyle w:val="TableContents"/>
              <w:bidi w:val="0"/>
              <w:spacing w:before="0" w:after="0"/>
              <w:jc w:val="left"/>
              <w:rPr/>
            </w:pPr>
            <w:r>
              <w:rPr/>
              <w:t> </w:t>
            </w:r>
          </w:p>
        </w:tc>
        <w:tc>
          <w:tcPr>
            <w:tcW w:w="9186" w:type="dxa"/>
            <w:tcBorders/>
            <w:shd w:fill="EEEEEE"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 w:hAnsi="Times New Roman"/>
          <w:b/>
          <w:sz w:val="20"/>
        </w:rPr>
      </w:pPr>
      <w:bookmarkStart w:id="10" w:name="page_9"/>
      <w:bookmarkEnd w:id="10"/>
      <w:r>
        <w:rPr>
          <w:rFonts w:ascii="Times New Roman" w:hAnsi="Times New Roman"/>
          <w:b/>
          <w:sz w:val="20"/>
        </w:rPr>
        <w:t>SIGNATURES</w:t>
      </w:r>
    </w:p>
    <w:p>
      <w:pPr>
        <w:pStyle w:val="TextBody"/>
        <w:bidi w:val="0"/>
        <w:spacing w:before="0" w:after="200"/>
        <w:ind w:left="0" w:right="0" w:firstLine="720"/>
        <w:jc w:val="both"/>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thereunto duly authorized.</w:t>
      </w:r>
    </w:p>
    <w:p>
      <w:pPr>
        <w:pStyle w:val="TextBody"/>
        <w:bidi w:val="0"/>
        <w:spacing w:before="200" w:after="200"/>
        <w:jc w:val="both"/>
        <w:rPr>
          <w:rFonts w:ascii="Times New Roman" w:hAnsi="Times New Roman"/>
          <w:sz w:val="20"/>
        </w:rPr>
      </w:pPr>
      <w:r>
        <w:rPr>
          <w:rFonts w:ascii="Times New Roman" w:hAnsi="Times New Roman"/>
          <w:sz w:val="20"/>
        </w:rPr>
        <w:t xml:space="preserve">Date: </w:t>
      </w:r>
      <w:r>
        <w:rPr>
          <w:rFonts w:ascii="Times New Roman" w:hAnsi="Times New Roman"/>
          <w:sz w:val="20"/>
          <w:shd w:fill="FFFFFF" w:val="clear"/>
        </w:rPr>
        <w:t>August 10, 2026</w:t>
      </w:r>
    </w:p>
    <w:tbl>
      <w:tblPr>
        <w:tblW w:w="2665" w:type="dxa"/>
        <w:jc w:val="left"/>
        <w:tblInd w:w="0" w:type="dxa"/>
        <w:tblLayout w:type="fixed"/>
        <w:tblCellMar>
          <w:top w:w="0" w:type="dxa"/>
          <w:left w:w="0" w:type="dxa"/>
          <w:bottom w:w="0" w:type="dxa"/>
          <w:right w:w="0" w:type="dxa"/>
        </w:tblCellMar>
      </w:tblPr>
      <w:tblGrid>
        <w:gridCol w:w="75"/>
        <w:gridCol w:w="365"/>
        <w:gridCol w:w="2225"/>
      </w:tblGrid>
      <w:tr>
        <w:trPr/>
        <w:tc>
          <w:tcPr>
            <w:tcW w:w="75" w:type="dxa"/>
            <w:tcBorders/>
            <w:vAlign w:val="center"/>
          </w:tcPr>
          <w:p>
            <w:pPr>
              <w:pStyle w:val="TableContents"/>
              <w:bidi w:val="0"/>
              <w:spacing w:before="0" w:after="0"/>
              <w:jc w:val="left"/>
              <w:rPr/>
            </w:pPr>
            <w:r>
              <w:rPr/>
              <w:t> </w:t>
            </w:r>
          </w:p>
        </w:tc>
        <w:tc>
          <w:tcPr>
            <w:tcW w:w="2590" w:type="dxa"/>
            <w:gridSpan w:val="2"/>
            <w:tcBorders/>
            <w:vAlign w:val="center"/>
          </w:tcPr>
          <w:p>
            <w:pPr>
              <w:pStyle w:val="TableContents"/>
              <w:bidi w:val="0"/>
              <w:spacing w:before="0" w:after="0"/>
              <w:jc w:val="left"/>
              <w:rPr>
                <w:b/>
              </w:rPr>
            </w:pPr>
            <w:r>
              <w:rPr>
                <w:b/>
              </w:rPr>
              <w:t>SPHERE 3D CORP.</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By:</w:t>
            </w:r>
          </w:p>
        </w:tc>
        <w:tc>
          <w:tcPr>
            <w:tcW w:w="2225" w:type="dxa"/>
            <w:tcBorders>
              <w:bottom w:val="single" w:sz="6" w:space="0" w:color="000000"/>
            </w:tcBorders>
            <w:tcMar>
              <w:bottom w:w="28" w:type="dxa"/>
            </w:tcMar>
            <w:vAlign w:val="center"/>
          </w:tcPr>
          <w:p>
            <w:pPr>
              <w:pStyle w:val="TableContents"/>
              <w:bidi w:val="0"/>
              <w:spacing w:before="0" w:after="0"/>
              <w:jc w:val="left"/>
              <w:rPr/>
            </w:pPr>
            <w:r>
              <w:rPr/>
              <w:t>/s/ Kurt Kalbfleisch</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Kurt Kalbfleisch</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p>
    <w:p>
      <w:pPr>
        <w:pStyle w:val="HorizontalLine"/>
        <w:pBdr>
          <w:bottom w:val="single" w:sz="18" w:space="0" w:color="000000"/>
        </w:pBdr>
        <w:bidi w:val="0"/>
        <w:jc w:val="left"/>
        <w:rPr/>
      </w:pPr>
      <w:r>
        <w:rPr/>
      </w:r>
      <w:bookmarkStart w:id="11" w:name="exhibit4-1.htm"/>
      <w:bookmarkStart w:id="12" w:name="ksexhibit41"/>
      <w:bookmarkStart w:id="13" w:name="exhibit4-1.htm"/>
      <w:bookmarkStart w:id="14" w:name="ksexhibit41"/>
      <w:bookmarkEnd w:id="13"/>
      <w:bookmarkEnd w:id="14"/>
      <w:r>
        <w:br w:type="page"/>
      </w:r>
    </w:p>
    <w:p>
      <w:pPr>
        <w:pStyle w:val="TextBody"/>
        <w:bidi w:val="0"/>
        <w:spacing w:before="200" w:after="200"/>
        <w:jc w:val="center"/>
        <w:rPr/>
      </w:pPr>
      <w:bookmarkStart w:id="15" w:name="page_11"/>
      <w:bookmarkEnd w:id="15"/>
      <w:r>
        <w:rPr/>
        <w:t> </w:t>
      </w:r>
    </w:p>
    <w:p>
      <w:pPr>
        <w:pStyle w:val="TextBody"/>
        <w:bidi w:val="0"/>
        <w:spacing w:before="200" w:after="200"/>
        <w:jc w:val="center"/>
        <w:rPr/>
      </w:pPr>
      <w:r>
        <w:rPr/>
        <w:t> </w:t>
      </w:r>
    </w:p>
    <w:p>
      <w:pPr>
        <w:pStyle w:val="TextBody"/>
        <w:bidi w:val="0"/>
        <w:spacing w:before="200" w:after="200"/>
        <w:jc w:val="center"/>
        <w:rPr>
          <w:b/>
        </w:rPr>
      </w:pPr>
      <w:r>
        <w:rPr>
          <w:b/>
        </w:rPr>
        <w:t>SHAREHOLDER RIGHTS PLAN AGREEMENT</w:t>
      </w:r>
    </w:p>
    <w:p>
      <w:pPr>
        <w:pStyle w:val="TextBody"/>
        <w:bidi w:val="0"/>
        <w:spacing w:before="200" w:after="200"/>
        <w:jc w:val="center"/>
        <w:rPr/>
      </w:pPr>
      <w:r>
        <w:rPr/>
        <w:t> </w:t>
      </w:r>
    </w:p>
    <w:p>
      <w:pPr>
        <w:pStyle w:val="TextBody"/>
        <w:bidi w:val="0"/>
        <w:spacing w:before="200" w:after="200"/>
        <w:jc w:val="center"/>
        <w:rPr>
          <w:b/>
        </w:rPr>
      </w:pPr>
      <w:r>
        <w:rPr>
          <w:b/>
        </w:rPr>
        <w:t>BETWEEN</w:t>
      </w:r>
    </w:p>
    <w:p>
      <w:pPr>
        <w:pStyle w:val="TextBody"/>
        <w:bidi w:val="0"/>
        <w:spacing w:before="200" w:after="200"/>
        <w:jc w:val="center"/>
        <w:rPr/>
      </w:pPr>
      <w:r>
        <w:rPr/>
        <w:t> </w:t>
      </w:r>
    </w:p>
    <w:p>
      <w:pPr>
        <w:pStyle w:val="TextBody"/>
        <w:bidi w:val="0"/>
        <w:spacing w:before="200" w:after="200"/>
        <w:jc w:val="center"/>
        <w:rPr>
          <w:b/>
        </w:rPr>
      </w:pPr>
      <w:r>
        <w:rPr>
          <w:b/>
        </w:rPr>
        <w:t>SPHERE 3D CORP.</w:t>
      </w:r>
    </w:p>
    <w:p>
      <w:pPr>
        <w:pStyle w:val="TextBody"/>
        <w:bidi w:val="0"/>
        <w:spacing w:before="200" w:after="200"/>
        <w:jc w:val="center"/>
        <w:rPr/>
      </w:pPr>
      <w:r>
        <w:rPr/>
        <w:t> </w:t>
      </w:r>
    </w:p>
    <w:p>
      <w:pPr>
        <w:pStyle w:val="TextBody"/>
        <w:bidi w:val="0"/>
        <w:spacing w:before="200" w:after="200"/>
        <w:jc w:val="center"/>
        <w:rPr>
          <w:b/>
        </w:rPr>
      </w:pPr>
      <w:r>
        <w:rPr>
          <w:b/>
        </w:rPr>
        <w:t>AND</w:t>
      </w:r>
    </w:p>
    <w:p>
      <w:pPr>
        <w:pStyle w:val="TextBody"/>
        <w:bidi w:val="0"/>
        <w:spacing w:before="200" w:after="200"/>
        <w:jc w:val="center"/>
        <w:rPr/>
      </w:pPr>
      <w:r>
        <w:rPr/>
        <w:t> </w:t>
      </w:r>
    </w:p>
    <w:p>
      <w:pPr>
        <w:pStyle w:val="TextBody"/>
        <w:bidi w:val="0"/>
        <w:spacing w:before="200" w:after="200"/>
        <w:jc w:val="center"/>
        <w:rPr>
          <w:b/>
        </w:rPr>
      </w:pPr>
      <w:r>
        <w:rPr>
          <w:b/>
        </w:rPr>
        <w:t>TSX TRUST COMPANY</w:t>
      </w:r>
    </w:p>
    <w:p>
      <w:pPr>
        <w:pStyle w:val="TextBody"/>
        <w:bidi w:val="0"/>
        <w:spacing w:before="200" w:after="200"/>
        <w:jc w:val="center"/>
        <w:rPr/>
      </w:pPr>
      <w:r>
        <w:rPr/>
        <w:t> </w:t>
      </w:r>
    </w:p>
    <w:p>
      <w:pPr>
        <w:pStyle w:val="TextBody"/>
        <w:bidi w:val="0"/>
        <w:spacing w:before="200" w:after="200"/>
        <w:jc w:val="center"/>
        <w:rPr>
          <w:b/>
        </w:rPr>
      </w:pPr>
      <w:r>
        <w:rPr>
          <w:b/>
        </w:rPr>
        <w:t>Made as of August 10, 2026</w:t>
      </w:r>
    </w:p>
    <w:p>
      <w:pPr>
        <w:pStyle w:val="TextBody"/>
        <w:bidi w:val="0"/>
        <w:spacing w:before="200" w:after="200"/>
        <w:jc w:val="center"/>
        <w:rPr/>
      </w:pPr>
      <w:r>
        <w:rPr/>
        <w:t> </w:t>
      </w:r>
    </w:p>
    <w:p>
      <w:pPr>
        <w:pStyle w:val="TextBody"/>
        <w:bidi w:val="0"/>
        <w:spacing w:before="200" w:after="200"/>
        <w:jc w:val="center"/>
        <w:rPr/>
      </w:pPr>
      <w:r>
        <w:rPr/>
        <w:t> </w:t>
      </w:r>
    </w:p>
    <w:p>
      <w:pPr>
        <w:pStyle w:val="HorizontalLine"/>
        <w:pBdr>
          <w:bottom w:val="single" w:sz="30" w:space="0" w:color="000000"/>
        </w:pBdr>
        <w:bidi w:val="0"/>
        <w:jc w:val="left"/>
        <w:rPr/>
      </w:pPr>
      <w:r>
        <w:rPr/>
      </w:r>
    </w:p>
    <w:p>
      <w:pPr>
        <w:pStyle w:val="TextBody"/>
        <w:bidi w:val="0"/>
        <w:spacing w:before="200" w:after="200"/>
        <w:jc w:val="center"/>
        <w:rPr>
          <w:b/>
        </w:rPr>
      </w:pPr>
      <w:bookmarkStart w:id="16" w:name="page_21"/>
      <w:bookmarkEnd w:id="16"/>
      <w:r>
        <w:rPr>
          <w:b/>
        </w:rPr>
        <w:t>TABLE OF CONTENTS</w:t>
      </w:r>
    </w:p>
    <w:tbl>
      <w:tblPr>
        <w:tblW w:w="7825" w:type="dxa"/>
        <w:jc w:val="left"/>
        <w:tblInd w:w="0" w:type="dxa"/>
        <w:tblLayout w:type="fixed"/>
        <w:tblCellMar>
          <w:top w:w="0" w:type="dxa"/>
          <w:left w:w="0" w:type="dxa"/>
          <w:bottom w:w="0" w:type="dxa"/>
          <w:right w:w="0" w:type="dxa"/>
        </w:tblCellMar>
      </w:tblPr>
      <w:tblGrid>
        <w:gridCol w:w="7550"/>
        <w:gridCol w:w="275"/>
      </w:tblGrid>
      <w:tr>
        <w:trPr/>
        <w:tc>
          <w:tcPr>
            <w:tcW w:w="7550" w:type="dxa"/>
            <w:tcBorders/>
            <w:shd w:fill="EEEEEE" w:val="clear"/>
            <w:vAlign w:val="center"/>
          </w:tcPr>
          <w:p>
            <w:pPr>
              <w:pStyle w:val="TableContents"/>
              <w:bidi w:val="0"/>
              <w:spacing w:before="0" w:after="283"/>
              <w:jc w:val="left"/>
              <w:rPr/>
            </w:pPr>
            <w:hyperlink w:anchor="page_5">
              <w:r>
                <w:rPr>
                  <w:rStyle w:val="InternetLink"/>
                  <w:b/>
                </w:rPr>
                <w:t>ARTICLE 1 INTERPRETATION</w:t>
              </w:r>
            </w:hyperlink>
          </w:p>
        </w:tc>
        <w:tc>
          <w:tcPr>
            <w:tcW w:w="275" w:type="dxa"/>
            <w:tcBorders/>
            <w:shd w:fill="EEEEEE" w:val="clear"/>
            <w:vAlign w:val="center"/>
          </w:tcPr>
          <w:p>
            <w:pPr>
              <w:pStyle w:val="TableContents"/>
              <w:bidi w:val="0"/>
              <w:spacing w:before="0" w:after="283"/>
              <w:ind w:left="0" w:right="0" w:hanging="810"/>
              <w:jc w:val="right"/>
              <w:rPr/>
            </w:pPr>
            <w:hyperlink w:anchor="page_5">
              <w:r>
                <w:rPr>
                  <w:rStyle w:val="InternetLink"/>
                  <w:b/>
                </w:rPr>
                <w:t>2</w:t>
              </w:r>
            </w:hyperlink>
          </w:p>
        </w:tc>
      </w:tr>
      <w:tr>
        <w:trPr/>
        <w:tc>
          <w:tcPr>
            <w:tcW w:w="7550" w:type="dxa"/>
            <w:tcBorders/>
            <w:vAlign w:val="center"/>
          </w:tcPr>
          <w:p>
            <w:pPr>
              <w:pStyle w:val="TableContents"/>
              <w:bidi w:val="0"/>
              <w:spacing w:before="0" w:after="283"/>
              <w:ind w:left="0" w:right="0" w:hanging="0"/>
              <w:jc w:val="left"/>
              <w:rPr/>
            </w:pPr>
            <w:hyperlink w:anchor="page_5">
              <w:r>
                <w:rPr>
                  <w:rStyle w:val="InternetLink"/>
                </w:rPr>
                <w:t>1.1 Certain Definitions</w:t>
              </w:r>
            </w:hyperlink>
          </w:p>
        </w:tc>
        <w:tc>
          <w:tcPr>
            <w:tcW w:w="275" w:type="dxa"/>
            <w:tcBorders/>
            <w:vAlign w:val="center"/>
          </w:tcPr>
          <w:p>
            <w:pPr>
              <w:pStyle w:val="TableContents"/>
              <w:bidi w:val="0"/>
              <w:spacing w:before="0" w:after="283"/>
              <w:ind w:left="0" w:right="0" w:hanging="810"/>
              <w:jc w:val="right"/>
              <w:rPr/>
            </w:pPr>
            <w:hyperlink w:anchor="page_5">
              <w:r>
                <w:rPr>
                  <w:rStyle w:val="InternetLink"/>
                </w:rPr>
                <w:t>2</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20">
              <w:r>
                <w:rPr>
                  <w:rStyle w:val="InternetLink"/>
                </w:rPr>
                <w:t>1.2 Currency</w:t>
              </w:r>
            </w:hyperlink>
          </w:p>
        </w:tc>
        <w:tc>
          <w:tcPr>
            <w:tcW w:w="275" w:type="dxa"/>
            <w:tcBorders/>
            <w:shd w:fill="EEEEEE" w:val="clear"/>
            <w:vAlign w:val="center"/>
          </w:tcPr>
          <w:p>
            <w:pPr>
              <w:pStyle w:val="TableContents"/>
              <w:bidi w:val="0"/>
              <w:spacing w:before="0" w:after="283"/>
              <w:ind w:left="0" w:right="0" w:hanging="810"/>
              <w:jc w:val="right"/>
              <w:rPr/>
            </w:pPr>
            <w:hyperlink w:anchor="page_20">
              <w:r>
                <w:rPr>
                  <w:rStyle w:val="InternetLink"/>
                </w:rPr>
                <w:t>17</w:t>
              </w:r>
            </w:hyperlink>
          </w:p>
        </w:tc>
      </w:tr>
      <w:tr>
        <w:trPr/>
        <w:tc>
          <w:tcPr>
            <w:tcW w:w="7550" w:type="dxa"/>
            <w:tcBorders/>
            <w:vAlign w:val="center"/>
          </w:tcPr>
          <w:p>
            <w:pPr>
              <w:pStyle w:val="TableContents"/>
              <w:bidi w:val="0"/>
              <w:spacing w:before="0" w:after="283"/>
              <w:ind w:left="0" w:right="0" w:hanging="0"/>
              <w:jc w:val="left"/>
              <w:rPr/>
            </w:pPr>
            <w:hyperlink w:anchor="page_20">
              <w:r>
                <w:rPr>
                  <w:rStyle w:val="InternetLink"/>
                </w:rPr>
                <w:t>1.3 Number and Gender</w:t>
              </w:r>
            </w:hyperlink>
          </w:p>
        </w:tc>
        <w:tc>
          <w:tcPr>
            <w:tcW w:w="275" w:type="dxa"/>
            <w:tcBorders/>
            <w:vAlign w:val="center"/>
          </w:tcPr>
          <w:p>
            <w:pPr>
              <w:pStyle w:val="TableContents"/>
              <w:bidi w:val="0"/>
              <w:spacing w:before="0" w:after="283"/>
              <w:ind w:left="0" w:right="0" w:hanging="810"/>
              <w:jc w:val="right"/>
              <w:rPr/>
            </w:pPr>
            <w:hyperlink w:anchor="page_20">
              <w:r>
                <w:rPr>
                  <w:rStyle w:val="InternetLink"/>
                </w:rPr>
                <w:t>17</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21">
              <w:r>
                <w:rPr>
                  <w:rStyle w:val="InternetLink"/>
                </w:rPr>
                <w:t>1.4 Sections</w:t>
              </w:r>
            </w:hyperlink>
          </w:p>
        </w:tc>
        <w:tc>
          <w:tcPr>
            <w:tcW w:w="275" w:type="dxa"/>
            <w:tcBorders/>
            <w:shd w:fill="EEEEEE" w:val="clear"/>
            <w:vAlign w:val="center"/>
          </w:tcPr>
          <w:p>
            <w:pPr>
              <w:pStyle w:val="TableContents"/>
              <w:bidi w:val="0"/>
              <w:spacing w:before="0" w:after="283"/>
              <w:ind w:left="0" w:right="0" w:hanging="810"/>
              <w:jc w:val="right"/>
              <w:rPr/>
            </w:pPr>
            <w:hyperlink w:anchor="page_21">
              <w:r>
                <w:rPr>
                  <w:rStyle w:val="InternetLink"/>
                </w:rPr>
                <w:t>18</w:t>
              </w:r>
            </w:hyperlink>
          </w:p>
        </w:tc>
      </w:tr>
      <w:tr>
        <w:trPr/>
        <w:tc>
          <w:tcPr>
            <w:tcW w:w="7550" w:type="dxa"/>
            <w:tcBorders/>
            <w:vAlign w:val="center"/>
          </w:tcPr>
          <w:p>
            <w:pPr>
              <w:pStyle w:val="TableContents"/>
              <w:bidi w:val="0"/>
              <w:spacing w:before="0" w:after="283"/>
              <w:ind w:left="0" w:right="0" w:hanging="0"/>
              <w:jc w:val="left"/>
              <w:rPr/>
            </w:pPr>
            <w:hyperlink w:anchor="page_21">
              <w:r>
                <w:rPr>
                  <w:rStyle w:val="InternetLink"/>
                </w:rPr>
                <w:t>1.5 Statutory References</w:t>
              </w:r>
            </w:hyperlink>
          </w:p>
        </w:tc>
        <w:tc>
          <w:tcPr>
            <w:tcW w:w="275" w:type="dxa"/>
            <w:tcBorders/>
            <w:vAlign w:val="center"/>
          </w:tcPr>
          <w:p>
            <w:pPr>
              <w:pStyle w:val="TableContents"/>
              <w:bidi w:val="0"/>
              <w:spacing w:before="0" w:after="283"/>
              <w:ind w:left="0" w:right="0" w:hanging="810"/>
              <w:jc w:val="right"/>
              <w:rPr/>
            </w:pPr>
            <w:hyperlink w:anchor="page_21">
              <w:r>
                <w:rPr>
                  <w:rStyle w:val="InternetLink"/>
                </w:rPr>
                <w:t>18</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21">
              <w:r>
                <w:rPr>
                  <w:rStyle w:val="InternetLink"/>
                </w:rPr>
                <w:t>1.6 Calculation of Voting Shares Beneficially Owned</w:t>
              </w:r>
            </w:hyperlink>
          </w:p>
        </w:tc>
        <w:tc>
          <w:tcPr>
            <w:tcW w:w="275" w:type="dxa"/>
            <w:tcBorders/>
            <w:shd w:fill="EEEEEE" w:val="clear"/>
            <w:vAlign w:val="center"/>
          </w:tcPr>
          <w:p>
            <w:pPr>
              <w:pStyle w:val="TableContents"/>
              <w:bidi w:val="0"/>
              <w:spacing w:before="0" w:after="283"/>
              <w:ind w:left="0" w:right="0" w:hanging="810"/>
              <w:jc w:val="right"/>
              <w:rPr/>
            </w:pPr>
            <w:hyperlink w:anchor="page_21">
              <w:r>
                <w:rPr>
                  <w:rStyle w:val="InternetLink"/>
                </w:rPr>
                <w:t>18</w:t>
              </w:r>
            </w:hyperlink>
          </w:p>
        </w:tc>
      </w:tr>
      <w:tr>
        <w:trPr/>
        <w:tc>
          <w:tcPr>
            <w:tcW w:w="7550" w:type="dxa"/>
            <w:tcBorders/>
            <w:vAlign w:val="center"/>
          </w:tcPr>
          <w:p>
            <w:pPr>
              <w:pStyle w:val="TableContents"/>
              <w:bidi w:val="0"/>
              <w:spacing w:before="0" w:after="283"/>
              <w:ind w:left="0" w:right="0" w:hanging="0"/>
              <w:jc w:val="left"/>
              <w:rPr/>
            </w:pPr>
            <w:hyperlink w:anchor="page_21">
              <w:r>
                <w:rPr>
                  <w:rStyle w:val="InternetLink"/>
                </w:rPr>
                <w:t>1.7 Acting Jointly or in Concert</w:t>
              </w:r>
            </w:hyperlink>
          </w:p>
        </w:tc>
        <w:tc>
          <w:tcPr>
            <w:tcW w:w="275" w:type="dxa"/>
            <w:tcBorders/>
            <w:vAlign w:val="center"/>
          </w:tcPr>
          <w:p>
            <w:pPr>
              <w:pStyle w:val="TableContents"/>
              <w:bidi w:val="0"/>
              <w:spacing w:before="0" w:after="283"/>
              <w:ind w:left="0" w:right="0" w:hanging="810"/>
              <w:jc w:val="right"/>
              <w:rPr/>
            </w:pPr>
            <w:hyperlink w:anchor="page_21">
              <w:r>
                <w:rPr>
                  <w:rStyle w:val="InternetLink"/>
                </w:rPr>
                <w:t>18</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21">
              <w:r>
                <w:rPr>
                  <w:rStyle w:val="InternetLink"/>
                </w:rPr>
                <w:t>1.8 Generally Accepted Accounting Principles</w:t>
              </w:r>
            </w:hyperlink>
          </w:p>
        </w:tc>
        <w:tc>
          <w:tcPr>
            <w:tcW w:w="275" w:type="dxa"/>
            <w:tcBorders/>
            <w:shd w:fill="EEEEEE" w:val="clear"/>
            <w:vAlign w:val="center"/>
          </w:tcPr>
          <w:p>
            <w:pPr>
              <w:pStyle w:val="TableContents"/>
              <w:bidi w:val="0"/>
              <w:spacing w:before="0" w:after="283"/>
              <w:jc w:val="right"/>
              <w:rPr/>
            </w:pPr>
            <w:hyperlink w:anchor="page_21">
              <w:r>
                <w:rPr>
                  <w:rStyle w:val="InternetLink"/>
                </w:rPr>
                <w:t>18</w:t>
              </w:r>
            </w:hyperlink>
          </w:p>
        </w:tc>
      </w:tr>
      <w:tr>
        <w:trPr/>
        <w:tc>
          <w:tcPr>
            <w:tcW w:w="7550" w:type="dxa"/>
            <w:tcBorders/>
            <w:vAlign w:val="center"/>
          </w:tcPr>
          <w:p>
            <w:pPr>
              <w:pStyle w:val="TableContents"/>
              <w:bidi w:val="0"/>
              <w:spacing w:before="0" w:after="283"/>
              <w:jc w:val="left"/>
              <w:rPr/>
            </w:pPr>
            <w:hyperlink w:anchor="page_22">
              <w:r>
                <w:rPr>
                  <w:rStyle w:val="InternetLink"/>
                  <w:b/>
                </w:rPr>
                <w:t>ARTICLE 2 THE RIGHTS</w:t>
              </w:r>
            </w:hyperlink>
          </w:p>
        </w:tc>
        <w:tc>
          <w:tcPr>
            <w:tcW w:w="275" w:type="dxa"/>
            <w:tcBorders/>
            <w:vAlign w:val="center"/>
          </w:tcPr>
          <w:p>
            <w:pPr>
              <w:pStyle w:val="TableContents"/>
              <w:bidi w:val="0"/>
              <w:spacing w:before="0" w:after="283"/>
              <w:ind w:left="0" w:right="0" w:hanging="810"/>
              <w:jc w:val="right"/>
              <w:rPr/>
            </w:pPr>
            <w:hyperlink w:anchor="page_22">
              <w:r>
                <w:rPr>
                  <w:rStyle w:val="InternetLink"/>
                  <w:b/>
                </w:rPr>
                <w:t>19</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22">
              <w:r>
                <w:rPr>
                  <w:rStyle w:val="InternetLink"/>
                </w:rPr>
                <w:t>2.1 Issuance of Rights; Legend on Share Certificates</w:t>
              </w:r>
            </w:hyperlink>
          </w:p>
        </w:tc>
        <w:tc>
          <w:tcPr>
            <w:tcW w:w="275" w:type="dxa"/>
            <w:tcBorders/>
            <w:shd w:fill="EEEEEE" w:val="clear"/>
            <w:vAlign w:val="center"/>
          </w:tcPr>
          <w:p>
            <w:pPr>
              <w:pStyle w:val="TableContents"/>
              <w:bidi w:val="0"/>
              <w:spacing w:before="0" w:after="283"/>
              <w:ind w:left="0" w:right="0" w:hanging="810"/>
              <w:jc w:val="right"/>
              <w:rPr/>
            </w:pPr>
            <w:hyperlink w:anchor="page_22">
              <w:r>
                <w:rPr>
                  <w:rStyle w:val="InternetLink"/>
                </w:rPr>
                <w:t>19</w:t>
              </w:r>
            </w:hyperlink>
          </w:p>
        </w:tc>
      </w:tr>
      <w:tr>
        <w:trPr/>
        <w:tc>
          <w:tcPr>
            <w:tcW w:w="7550" w:type="dxa"/>
            <w:tcBorders/>
            <w:vAlign w:val="center"/>
          </w:tcPr>
          <w:p>
            <w:pPr>
              <w:pStyle w:val="TableContents"/>
              <w:bidi w:val="0"/>
              <w:spacing w:before="0" w:after="283"/>
              <w:ind w:left="0" w:right="0" w:hanging="0"/>
              <w:jc w:val="left"/>
              <w:rPr/>
            </w:pPr>
            <w:hyperlink w:anchor="page_23">
              <w:r>
                <w:rPr>
                  <w:rStyle w:val="InternetLink"/>
                </w:rPr>
                <w:t>2.2 Initial Exercise Price; Exercise of Rights; Detachment of Rights</w:t>
              </w:r>
            </w:hyperlink>
          </w:p>
        </w:tc>
        <w:tc>
          <w:tcPr>
            <w:tcW w:w="275" w:type="dxa"/>
            <w:tcBorders/>
            <w:vAlign w:val="center"/>
          </w:tcPr>
          <w:p>
            <w:pPr>
              <w:pStyle w:val="TableContents"/>
              <w:bidi w:val="0"/>
              <w:spacing w:before="0" w:after="283"/>
              <w:ind w:left="0" w:right="0" w:hanging="810"/>
              <w:jc w:val="right"/>
              <w:rPr/>
            </w:pPr>
            <w:hyperlink w:anchor="page_23">
              <w:r>
                <w:rPr>
                  <w:rStyle w:val="InternetLink"/>
                </w:rPr>
                <w:t>20</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26">
              <w:r>
                <w:rPr>
                  <w:rStyle w:val="InternetLink"/>
                </w:rPr>
                <w:t>2.3 Adjustments to Exercise Price; Number of Rights</w:t>
              </w:r>
            </w:hyperlink>
          </w:p>
        </w:tc>
        <w:tc>
          <w:tcPr>
            <w:tcW w:w="275" w:type="dxa"/>
            <w:tcBorders/>
            <w:shd w:fill="EEEEEE" w:val="clear"/>
            <w:vAlign w:val="center"/>
          </w:tcPr>
          <w:p>
            <w:pPr>
              <w:pStyle w:val="TableContents"/>
              <w:bidi w:val="0"/>
              <w:spacing w:before="0" w:after="283"/>
              <w:ind w:left="0" w:right="0" w:hanging="810"/>
              <w:jc w:val="right"/>
              <w:rPr/>
            </w:pPr>
            <w:hyperlink w:anchor="page_26">
              <w:r>
                <w:rPr>
                  <w:rStyle w:val="InternetLink"/>
                </w:rPr>
                <w:t>23</w:t>
              </w:r>
            </w:hyperlink>
          </w:p>
        </w:tc>
      </w:tr>
      <w:tr>
        <w:trPr/>
        <w:tc>
          <w:tcPr>
            <w:tcW w:w="7550" w:type="dxa"/>
            <w:tcBorders/>
            <w:vAlign w:val="center"/>
          </w:tcPr>
          <w:p>
            <w:pPr>
              <w:pStyle w:val="TableContents"/>
              <w:bidi w:val="0"/>
              <w:spacing w:before="0" w:after="283"/>
              <w:ind w:left="0" w:right="0" w:hanging="0"/>
              <w:jc w:val="left"/>
              <w:rPr/>
            </w:pPr>
            <w:hyperlink w:anchor="page_31">
              <w:r>
                <w:rPr>
                  <w:rStyle w:val="InternetLink"/>
                </w:rPr>
                <w:t>2.4 Date on Which Exercise is Effective</w:t>
              </w:r>
            </w:hyperlink>
          </w:p>
        </w:tc>
        <w:tc>
          <w:tcPr>
            <w:tcW w:w="275" w:type="dxa"/>
            <w:tcBorders/>
            <w:vAlign w:val="center"/>
          </w:tcPr>
          <w:p>
            <w:pPr>
              <w:pStyle w:val="TableContents"/>
              <w:bidi w:val="0"/>
              <w:spacing w:before="0" w:after="283"/>
              <w:ind w:left="0" w:right="0" w:hanging="810"/>
              <w:jc w:val="right"/>
              <w:rPr/>
            </w:pPr>
            <w:hyperlink w:anchor="page_31">
              <w:r>
                <w:rPr>
                  <w:rStyle w:val="InternetLink"/>
                </w:rPr>
                <w:t>28</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1">
              <w:r>
                <w:rPr>
                  <w:rStyle w:val="InternetLink"/>
                </w:rPr>
                <w:t>2.5 Execution, Authentication, Delivery and Dating of Rights Certificates</w:t>
              </w:r>
            </w:hyperlink>
          </w:p>
        </w:tc>
        <w:tc>
          <w:tcPr>
            <w:tcW w:w="275" w:type="dxa"/>
            <w:tcBorders/>
            <w:shd w:fill="EEEEEE" w:val="clear"/>
            <w:vAlign w:val="center"/>
          </w:tcPr>
          <w:p>
            <w:pPr>
              <w:pStyle w:val="TableContents"/>
              <w:bidi w:val="0"/>
              <w:spacing w:before="0" w:after="283"/>
              <w:ind w:left="0" w:right="0" w:hanging="810"/>
              <w:jc w:val="right"/>
              <w:rPr/>
            </w:pPr>
            <w:hyperlink w:anchor="page_31">
              <w:r>
                <w:rPr>
                  <w:rStyle w:val="InternetLink"/>
                </w:rPr>
                <w:t>28</w:t>
              </w:r>
            </w:hyperlink>
          </w:p>
        </w:tc>
      </w:tr>
      <w:tr>
        <w:trPr/>
        <w:tc>
          <w:tcPr>
            <w:tcW w:w="7550" w:type="dxa"/>
            <w:tcBorders/>
            <w:vAlign w:val="center"/>
          </w:tcPr>
          <w:p>
            <w:pPr>
              <w:pStyle w:val="TableContents"/>
              <w:bidi w:val="0"/>
              <w:spacing w:before="0" w:after="283"/>
              <w:ind w:left="0" w:right="0" w:hanging="0"/>
              <w:jc w:val="left"/>
              <w:rPr/>
            </w:pPr>
            <w:hyperlink w:anchor="page_32">
              <w:r>
                <w:rPr>
                  <w:rStyle w:val="InternetLink"/>
                </w:rPr>
                <w:t>2.6 Registration, Transfer and Exchange</w:t>
              </w:r>
            </w:hyperlink>
          </w:p>
        </w:tc>
        <w:tc>
          <w:tcPr>
            <w:tcW w:w="275" w:type="dxa"/>
            <w:tcBorders/>
            <w:vAlign w:val="center"/>
          </w:tcPr>
          <w:p>
            <w:pPr>
              <w:pStyle w:val="TableContents"/>
              <w:bidi w:val="0"/>
              <w:spacing w:before="0" w:after="283"/>
              <w:ind w:left="0" w:right="0" w:hanging="810"/>
              <w:jc w:val="right"/>
              <w:rPr/>
            </w:pPr>
            <w:hyperlink w:anchor="page_32">
              <w:r>
                <w:rPr>
                  <w:rStyle w:val="InternetLink"/>
                </w:rPr>
                <w:t>29</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3">
              <w:r>
                <w:rPr>
                  <w:rStyle w:val="InternetLink"/>
                </w:rPr>
                <w:t>2.7 Mutilated, Lost, Stolen and Destroyed Rights Certificates</w:t>
              </w:r>
            </w:hyperlink>
          </w:p>
        </w:tc>
        <w:tc>
          <w:tcPr>
            <w:tcW w:w="275" w:type="dxa"/>
            <w:tcBorders/>
            <w:shd w:fill="EEEEEE" w:val="clear"/>
            <w:vAlign w:val="center"/>
          </w:tcPr>
          <w:p>
            <w:pPr>
              <w:pStyle w:val="TableContents"/>
              <w:bidi w:val="0"/>
              <w:spacing w:before="0" w:after="283"/>
              <w:ind w:left="0" w:right="0" w:hanging="810"/>
              <w:jc w:val="right"/>
              <w:rPr/>
            </w:pPr>
            <w:hyperlink w:anchor="page_33">
              <w:r>
                <w:rPr>
                  <w:rStyle w:val="InternetLink"/>
                </w:rPr>
                <w:t>30</w:t>
              </w:r>
            </w:hyperlink>
          </w:p>
        </w:tc>
      </w:tr>
      <w:tr>
        <w:trPr/>
        <w:tc>
          <w:tcPr>
            <w:tcW w:w="7550" w:type="dxa"/>
            <w:tcBorders/>
            <w:vAlign w:val="center"/>
          </w:tcPr>
          <w:p>
            <w:pPr>
              <w:pStyle w:val="TableContents"/>
              <w:bidi w:val="0"/>
              <w:spacing w:before="0" w:after="283"/>
              <w:ind w:left="0" w:right="0" w:hanging="0"/>
              <w:jc w:val="left"/>
              <w:rPr/>
            </w:pPr>
            <w:hyperlink w:anchor="page_33">
              <w:r>
                <w:rPr>
                  <w:rStyle w:val="InternetLink"/>
                </w:rPr>
                <w:t>2.8 Persons Deemed Owners</w:t>
              </w:r>
            </w:hyperlink>
          </w:p>
        </w:tc>
        <w:tc>
          <w:tcPr>
            <w:tcW w:w="275" w:type="dxa"/>
            <w:tcBorders/>
            <w:vAlign w:val="center"/>
          </w:tcPr>
          <w:p>
            <w:pPr>
              <w:pStyle w:val="TableContents"/>
              <w:bidi w:val="0"/>
              <w:spacing w:before="0" w:after="283"/>
              <w:ind w:left="0" w:right="0" w:hanging="810"/>
              <w:jc w:val="right"/>
              <w:rPr/>
            </w:pPr>
            <w:hyperlink w:anchor="page_33">
              <w:r>
                <w:rPr>
                  <w:rStyle w:val="InternetLink"/>
                </w:rPr>
                <w:t>30</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3">
              <w:r>
                <w:rPr>
                  <w:rStyle w:val="InternetLink"/>
                </w:rPr>
                <w:t>2.9 Delivery and Cancellation of Certificates</w:t>
              </w:r>
            </w:hyperlink>
          </w:p>
        </w:tc>
        <w:tc>
          <w:tcPr>
            <w:tcW w:w="275" w:type="dxa"/>
            <w:tcBorders/>
            <w:shd w:fill="EEEEEE" w:val="clear"/>
            <w:vAlign w:val="center"/>
          </w:tcPr>
          <w:p>
            <w:pPr>
              <w:pStyle w:val="TableContents"/>
              <w:bidi w:val="0"/>
              <w:spacing w:before="0" w:after="283"/>
              <w:ind w:left="0" w:right="0" w:hanging="810"/>
              <w:jc w:val="right"/>
              <w:rPr/>
            </w:pPr>
            <w:hyperlink w:anchor="page_33">
              <w:r>
                <w:rPr>
                  <w:rStyle w:val="InternetLink"/>
                </w:rPr>
                <w:t>30</w:t>
              </w:r>
            </w:hyperlink>
          </w:p>
        </w:tc>
      </w:tr>
      <w:tr>
        <w:trPr/>
        <w:tc>
          <w:tcPr>
            <w:tcW w:w="7550" w:type="dxa"/>
            <w:tcBorders/>
            <w:vAlign w:val="center"/>
          </w:tcPr>
          <w:p>
            <w:pPr>
              <w:pStyle w:val="TableContents"/>
              <w:bidi w:val="0"/>
              <w:spacing w:before="0" w:after="283"/>
              <w:ind w:left="0" w:right="0" w:hanging="0"/>
              <w:jc w:val="left"/>
              <w:rPr/>
            </w:pPr>
            <w:hyperlink w:anchor="page_34">
              <w:r>
                <w:rPr>
                  <w:rStyle w:val="InternetLink"/>
                </w:rPr>
                <w:t>2.10 Agreement of Rights Holders</w:t>
              </w:r>
            </w:hyperlink>
          </w:p>
        </w:tc>
        <w:tc>
          <w:tcPr>
            <w:tcW w:w="275" w:type="dxa"/>
            <w:tcBorders/>
            <w:vAlign w:val="center"/>
          </w:tcPr>
          <w:p>
            <w:pPr>
              <w:pStyle w:val="TableContents"/>
              <w:bidi w:val="0"/>
              <w:spacing w:before="0" w:after="283"/>
              <w:ind w:left="0" w:right="0" w:hanging="810"/>
              <w:jc w:val="right"/>
              <w:rPr/>
            </w:pPr>
            <w:hyperlink w:anchor="page_34">
              <w:r>
                <w:rPr>
                  <w:rStyle w:val="InternetLink"/>
                </w:rPr>
                <w:t>31</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5">
              <w:r>
                <w:rPr>
                  <w:rStyle w:val="InternetLink"/>
                </w:rPr>
                <w:t>2.11 Exclusion of Warranty by Rights Agent</w:t>
              </w:r>
            </w:hyperlink>
          </w:p>
        </w:tc>
        <w:tc>
          <w:tcPr>
            <w:tcW w:w="275" w:type="dxa"/>
            <w:tcBorders/>
            <w:shd w:fill="EEEEEE" w:val="clear"/>
            <w:vAlign w:val="center"/>
          </w:tcPr>
          <w:p>
            <w:pPr>
              <w:pStyle w:val="TableContents"/>
              <w:bidi w:val="0"/>
              <w:spacing w:before="0" w:after="283"/>
              <w:jc w:val="right"/>
              <w:rPr/>
            </w:pPr>
            <w:hyperlink w:anchor="page_35">
              <w:r>
                <w:rPr>
                  <w:rStyle w:val="InternetLink"/>
                </w:rPr>
                <w:t>32</w:t>
              </w:r>
            </w:hyperlink>
          </w:p>
        </w:tc>
      </w:tr>
      <w:tr>
        <w:trPr/>
        <w:tc>
          <w:tcPr>
            <w:tcW w:w="7550" w:type="dxa"/>
            <w:tcBorders/>
            <w:vAlign w:val="center"/>
          </w:tcPr>
          <w:p>
            <w:pPr>
              <w:pStyle w:val="TableContents"/>
              <w:bidi w:val="0"/>
              <w:spacing w:before="0" w:after="283"/>
              <w:jc w:val="left"/>
              <w:rPr/>
            </w:pPr>
            <w:hyperlink w:anchor="page_35">
              <w:r>
                <w:rPr>
                  <w:rStyle w:val="InternetLink"/>
                  <w:b/>
                </w:rPr>
                <w:t>ARTICLE 3 ADJUSTMENTS TO THE RIGHTS</w:t>
              </w:r>
            </w:hyperlink>
          </w:p>
        </w:tc>
        <w:tc>
          <w:tcPr>
            <w:tcW w:w="275" w:type="dxa"/>
            <w:tcBorders/>
            <w:vAlign w:val="center"/>
          </w:tcPr>
          <w:p>
            <w:pPr>
              <w:pStyle w:val="TableContents"/>
              <w:bidi w:val="0"/>
              <w:spacing w:before="0" w:after="283"/>
              <w:ind w:left="0" w:right="0" w:hanging="810"/>
              <w:jc w:val="right"/>
              <w:rPr/>
            </w:pPr>
            <w:hyperlink w:anchor="page_35">
              <w:r>
                <w:rPr>
                  <w:rStyle w:val="InternetLink"/>
                  <w:b/>
                </w:rPr>
                <w:t>32</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5">
              <w:r>
                <w:rPr>
                  <w:rStyle w:val="InternetLink"/>
                </w:rPr>
                <w:t>3.1 Flip-in Event</w:t>
              </w:r>
            </w:hyperlink>
          </w:p>
        </w:tc>
        <w:tc>
          <w:tcPr>
            <w:tcW w:w="275" w:type="dxa"/>
            <w:tcBorders/>
            <w:shd w:fill="EEEEEE" w:val="clear"/>
            <w:vAlign w:val="center"/>
          </w:tcPr>
          <w:p>
            <w:pPr>
              <w:pStyle w:val="TableContents"/>
              <w:bidi w:val="0"/>
              <w:spacing w:before="0" w:after="283"/>
              <w:ind w:left="0" w:right="0" w:hanging="810"/>
              <w:jc w:val="right"/>
              <w:rPr/>
            </w:pPr>
            <w:hyperlink w:anchor="page_35">
              <w:r>
                <w:rPr>
                  <w:rStyle w:val="InternetLink"/>
                </w:rPr>
                <w:t>32</w:t>
              </w:r>
            </w:hyperlink>
          </w:p>
        </w:tc>
      </w:tr>
      <w:tr>
        <w:trPr/>
        <w:tc>
          <w:tcPr>
            <w:tcW w:w="7550" w:type="dxa"/>
            <w:tcBorders/>
            <w:vAlign w:val="center"/>
          </w:tcPr>
          <w:p>
            <w:pPr>
              <w:pStyle w:val="TableContents"/>
              <w:bidi w:val="0"/>
              <w:spacing w:before="0" w:after="283"/>
              <w:ind w:left="0" w:right="0" w:hanging="0"/>
              <w:jc w:val="left"/>
              <w:rPr/>
            </w:pPr>
            <w:hyperlink w:anchor="page_36">
              <w:r>
                <w:rPr>
                  <w:rStyle w:val="InternetLink"/>
                </w:rPr>
                <w:t>3.2 Exchange</w:t>
              </w:r>
            </w:hyperlink>
          </w:p>
        </w:tc>
        <w:tc>
          <w:tcPr>
            <w:tcW w:w="275" w:type="dxa"/>
            <w:tcBorders/>
            <w:vAlign w:val="center"/>
          </w:tcPr>
          <w:p>
            <w:pPr>
              <w:pStyle w:val="TableContents"/>
              <w:bidi w:val="0"/>
              <w:spacing w:before="0" w:after="283"/>
              <w:ind w:left="0" w:right="0" w:hanging="810"/>
              <w:jc w:val="right"/>
              <w:rPr/>
            </w:pPr>
            <w:hyperlink w:anchor="page_36">
              <w:r>
                <w:rPr>
                  <w:rStyle w:val="InternetLink"/>
                </w:rPr>
                <w:t>33</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8">
              <w:r>
                <w:rPr>
                  <w:rStyle w:val="InternetLink"/>
                </w:rPr>
                <w:t>3.3 Fiduciary Duties of the Board of Directors</w:t>
              </w:r>
            </w:hyperlink>
          </w:p>
        </w:tc>
        <w:tc>
          <w:tcPr>
            <w:tcW w:w="275" w:type="dxa"/>
            <w:tcBorders/>
            <w:shd w:fill="EEEEEE" w:val="clear"/>
            <w:vAlign w:val="center"/>
          </w:tcPr>
          <w:p>
            <w:pPr>
              <w:pStyle w:val="TableContents"/>
              <w:bidi w:val="0"/>
              <w:spacing w:before="0" w:after="283"/>
              <w:jc w:val="right"/>
              <w:rPr/>
            </w:pPr>
            <w:hyperlink w:anchor="page_38">
              <w:r>
                <w:rPr>
                  <w:rStyle w:val="InternetLink"/>
                </w:rPr>
                <w:t>35</w:t>
              </w:r>
            </w:hyperlink>
          </w:p>
        </w:tc>
      </w:tr>
      <w:tr>
        <w:trPr/>
        <w:tc>
          <w:tcPr>
            <w:tcW w:w="7550" w:type="dxa"/>
            <w:tcBorders/>
            <w:vAlign w:val="center"/>
          </w:tcPr>
          <w:p>
            <w:pPr>
              <w:pStyle w:val="TableContents"/>
              <w:bidi w:val="0"/>
              <w:spacing w:before="0" w:after="283"/>
              <w:jc w:val="left"/>
              <w:rPr/>
            </w:pPr>
            <w:hyperlink w:anchor="page_38">
              <w:r>
                <w:rPr>
                  <w:rStyle w:val="InternetLink"/>
                  <w:b/>
                </w:rPr>
                <w:t>ARTICLE 4 THE RIGHTS AGENT</w:t>
              </w:r>
            </w:hyperlink>
          </w:p>
        </w:tc>
        <w:tc>
          <w:tcPr>
            <w:tcW w:w="275" w:type="dxa"/>
            <w:tcBorders/>
            <w:vAlign w:val="center"/>
          </w:tcPr>
          <w:p>
            <w:pPr>
              <w:pStyle w:val="TableContents"/>
              <w:bidi w:val="0"/>
              <w:spacing w:before="0" w:after="283"/>
              <w:ind w:left="0" w:right="0" w:hanging="810"/>
              <w:jc w:val="right"/>
              <w:rPr/>
            </w:pPr>
            <w:hyperlink w:anchor="page_38">
              <w:r>
                <w:rPr>
                  <w:rStyle w:val="InternetLink"/>
                  <w:b/>
                </w:rPr>
                <w:t>35</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8">
              <w:r>
                <w:rPr>
                  <w:rStyle w:val="InternetLink"/>
                </w:rPr>
                <w:t>4.1 General</w:t>
              </w:r>
            </w:hyperlink>
          </w:p>
        </w:tc>
        <w:tc>
          <w:tcPr>
            <w:tcW w:w="275" w:type="dxa"/>
            <w:tcBorders/>
            <w:shd w:fill="EEEEEE" w:val="clear"/>
            <w:vAlign w:val="center"/>
          </w:tcPr>
          <w:p>
            <w:pPr>
              <w:pStyle w:val="TableContents"/>
              <w:bidi w:val="0"/>
              <w:spacing w:before="0" w:after="283"/>
              <w:ind w:left="0" w:right="0" w:hanging="810"/>
              <w:jc w:val="right"/>
              <w:rPr/>
            </w:pPr>
            <w:hyperlink w:anchor="page_38">
              <w:r>
                <w:rPr>
                  <w:rStyle w:val="InternetLink"/>
                </w:rPr>
                <w:t>35</w:t>
              </w:r>
            </w:hyperlink>
          </w:p>
        </w:tc>
      </w:tr>
      <w:tr>
        <w:trPr/>
        <w:tc>
          <w:tcPr>
            <w:tcW w:w="7550" w:type="dxa"/>
            <w:tcBorders/>
            <w:vAlign w:val="center"/>
          </w:tcPr>
          <w:p>
            <w:pPr>
              <w:pStyle w:val="TableContents"/>
              <w:bidi w:val="0"/>
              <w:spacing w:before="0" w:after="283"/>
              <w:ind w:left="0" w:right="0" w:hanging="0"/>
              <w:jc w:val="left"/>
              <w:rPr/>
            </w:pPr>
            <w:hyperlink w:anchor="page_39">
              <w:r>
                <w:rPr>
                  <w:rStyle w:val="InternetLink"/>
                </w:rPr>
                <w:t>4.2 Merger, Amalgamation, Consolidation or Change of Name of Rights Agent</w:t>
              </w:r>
            </w:hyperlink>
          </w:p>
        </w:tc>
        <w:tc>
          <w:tcPr>
            <w:tcW w:w="275" w:type="dxa"/>
            <w:tcBorders/>
            <w:vAlign w:val="center"/>
          </w:tcPr>
          <w:p>
            <w:pPr>
              <w:pStyle w:val="TableContents"/>
              <w:bidi w:val="0"/>
              <w:spacing w:before="0" w:after="283"/>
              <w:ind w:left="0" w:right="0" w:hanging="810"/>
              <w:jc w:val="right"/>
              <w:rPr/>
            </w:pPr>
            <w:hyperlink w:anchor="page_39">
              <w:r>
                <w:rPr>
                  <w:rStyle w:val="InternetLink"/>
                </w:rPr>
                <w:t>36</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39">
              <w:r>
                <w:rPr>
                  <w:rStyle w:val="InternetLink"/>
                </w:rPr>
                <w:t>4.3 Duties of Rights Agent</w:t>
              </w:r>
            </w:hyperlink>
          </w:p>
        </w:tc>
        <w:tc>
          <w:tcPr>
            <w:tcW w:w="275" w:type="dxa"/>
            <w:tcBorders/>
            <w:shd w:fill="EEEEEE" w:val="clear"/>
            <w:vAlign w:val="center"/>
          </w:tcPr>
          <w:p>
            <w:pPr>
              <w:pStyle w:val="TableContents"/>
              <w:bidi w:val="0"/>
              <w:spacing w:before="0" w:after="283"/>
              <w:ind w:left="0" w:right="0" w:hanging="810"/>
              <w:jc w:val="right"/>
              <w:rPr/>
            </w:pPr>
            <w:hyperlink w:anchor="page_39">
              <w:r>
                <w:rPr>
                  <w:rStyle w:val="InternetLink"/>
                </w:rPr>
                <w:t>36</w:t>
              </w:r>
            </w:hyperlink>
          </w:p>
        </w:tc>
      </w:tr>
      <w:tr>
        <w:trPr/>
        <w:tc>
          <w:tcPr>
            <w:tcW w:w="7550" w:type="dxa"/>
            <w:tcBorders/>
            <w:vAlign w:val="center"/>
          </w:tcPr>
          <w:p>
            <w:pPr>
              <w:pStyle w:val="TableContents"/>
              <w:bidi w:val="0"/>
              <w:spacing w:before="0" w:after="283"/>
              <w:ind w:left="0" w:right="0" w:hanging="0"/>
              <w:jc w:val="left"/>
              <w:rPr/>
            </w:pPr>
            <w:hyperlink w:anchor="page_41">
              <w:r>
                <w:rPr>
                  <w:rStyle w:val="InternetLink"/>
                </w:rPr>
                <w:t>4.4 Liability</w:t>
              </w:r>
            </w:hyperlink>
          </w:p>
        </w:tc>
        <w:tc>
          <w:tcPr>
            <w:tcW w:w="275" w:type="dxa"/>
            <w:tcBorders/>
            <w:vAlign w:val="center"/>
          </w:tcPr>
          <w:p>
            <w:pPr>
              <w:pStyle w:val="TableContents"/>
              <w:bidi w:val="0"/>
              <w:spacing w:before="0" w:after="283"/>
              <w:ind w:left="0" w:right="0" w:hanging="810"/>
              <w:jc w:val="right"/>
              <w:rPr/>
            </w:pPr>
            <w:hyperlink w:anchor="page_41">
              <w:r>
                <w:rPr>
                  <w:rStyle w:val="InternetLink"/>
                </w:rPr>
                <w:t>38</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41">
              <w:r>
                <w:rPr>
                  <w:rStyle w:val="InternetLink"/>
                </w:rPr>
                <w:t>4.5 Change of Rights Agent</w:t>
              </w:r>
            </w:hyperlink>
          </w:p>
        </w:tc>
        <w:tc>
          <w:tcPr>
            <w:tcW w:w="275" w:type="dxa"/>
            <w:tcBorders/>
            <w:shd w:fill="EEEEEE" w:val="clear"/>
            <w:vAlign w:val="center"/>
          </w:tcPr>
          <w:p>
            <w:pPr>
              <w:pStyle w:val="TableContents"/>
              <w:bidi w:val="0"/>
              <w:spacing w:before="0" w:after="283"/>
              <w:ind w:left="0" w:right="0" w:hanging="810"/>
              <w:jc w:val="right"/>
              <w:rPr/>
            </w:pPr>
            <w:hyperlink w:anchor="page_41">
              <w:r>
                <w:rPr>
                  <w:rStyle w:val="InternetLink"/>
                </w:rPr>
                <w:t>38</w:t>
              </w:r>
            </w:hyperlink>
          </w:p>
        </w:tc>
      </w:tr>
      <w:tr>
        <w:trPr/>
        <w:tc>
          <w:tcPr>
            <w:tcW w:w="7550" w:type="dxa"/>
            <w:tcBorders/>
            <w:vAlign w:val="center"/>
          </w:tcPr>
          <w:p>
            <w:pPr>
              <w:pStyle w:val="TableContents"/>
              <w:bidi w:val="0"/>
              <w:spacing w:before="0" w:after="283"/>
              <w:ind w:left="0" w:right="0" w:hanging="0"/>
              <w:jc w:val="left"/>
              <w:rPr/>
            </w:pPr>
            <w:hyperlink w:anchor="page_42">
              <w:r>
                <w:rPr>
                  <w:rStyle w:val="InternetLink"/>
                </w:rPr>
                <w:t>4.6 Compliance with Anti-Money Laundering Legislation</w:t>
              </w:r>
            </w:hyperlink>
          </w:p>
        </w:tc>
        <w:tc>
          <w:tcPr>
            <w:tcW w:w="275" w:type="dxa"/>
            <w:tcBorders/>
            <w:vAlign w:val="center"/>
          </w:tcPr>
          <w:p>
            <w:pPr>
              <w:pStyle w:val="TableContents"/>
              <w:bidi w:val="0"/>
              <w:spacing w:before="0" w:after="283"/>
              <w:ind w:left="0" w:right="0" w:hanging="810"/>
              <w:jc w:val="right"/>
              <w:rPr/>
            </w:pPr>
            <w:hyperlink w:anchor="page_42">
              <w:r>
                <w:rPr>
                  <w:rStyle w:val="InternetLink"/>
                </w:rPr>
                <w:t>39</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42">
              <w:r>
                <w:rPr>
                  <w:rStyle w:val="InternetLink"/>
                </w:rPr>
                <w:t>4.7 Privacy Legislation</w:t>
              </w:r>
            </w:hyperlink>
          </w:p>
        </w:tc>
        <w:tc>
          <w:tcPr>
            <w:tcW w:w="275" w:type="dxa"/>
            <w:tcBorders/>
            <w:shd w:fill="EEEEEE" w:val="clear"/>
            <w:vAlign w:val="center"/>
          </w:tcPr>
          <w:p>
            <w:pPr>
              <w:pStyle w:val="TableContents"/>
              <w:bidi w:val="0"/>
              <w:spacing w:before="0" w:after="283"/>
              <w:jc w:val="right"/>
              <w:rPr/>
            </w:pPr>
            <w:hyperlink w:anchor="page_42">
              <w:r>
                <w:rPr>
                  <w:rStyle w:val="InternetLink"/>
                </w:rPr>
                <w:t>39</w:t>
              </w:r>
            </w:hyperlink>
          </w:p>
        </w:tc>
      </w:tr>
      <w:tr>
        <w:trPr/>
        <w:tc>
          <w:tcPr>
            <w:tcW w:w="7550" w:type="dxa"/>
            <w:tcBorders/>
            <w:vAlign w:val="center"/>
          </w:tcPr>
          <w:p>
            <w:pPr>
              <w:pStyle w:val="TableContents"/>
              <w:bidi w:val="0"/>
              <w:spacing w:before="0" w:after="283"/>
              <w:jc w:val="left"/>
              <w:rPr/>
            </w:pPr>
            <w:hyperlink w:anchor="page_43">
              <w:r>
                <w:rPr>
                  <w:rStyle w:val="InternetLink"/>
                  <w:b/>
                </w:rPr>
                <w:t>ARTICLE 5 MISCELLANEOUS</w:t>
              </w:r>
            </w:hyperlink>
          </w:p>
        </w:tc>
        <w:tc>
          <w:tcPr>
            <w:tcW w:w="275" w:type="dxa"/>
            <w:tcBorders/>
            <w:vAlign w:val="center"/>
          </w:tcPr>
          <w:p>
            <w:pPr>
              <w:pStyle w:val="TableContents"/>
              <w:bidi w:val="0"/>
              <w:spacing w:before="0" w:after="283"/>
              <w:ind w:left="0" w:right="0" w:hanging="810"/>
              <w:jc w:val="right"/>
              <w:rPr/>
            </w:pPr>
            <w:hyperlink w:anchor="page_43">
              <w:r>
                <w:rPr>
                  <w:rStyle w:val="InternetLink"/>
                  <w:b/>
                </w:rPr>
                <w:t>40</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43">
              <w:r>
                <w:rPr>
                  <w:rStyle w:val="InternetLink"/>
                </w:rPr>
                <w:t>5.1 Redemption, Waiver, Extension and Termination</w:t>
              </w:r>
            </w:hyperlink>
          </w:p>
        </w:tc>
        <w:tc>
          <w:tcPr>
            <w:tcW w:w="275" w:type="dxa"/>
            <w:tcBorders/>
            <w:shd w:fill="EEEEEE" w:val="clear"/>
            <w:vAlign w:val="center"/>
          </w:tcPr>
          <w:p>
            <w:pPr>
              <w:pStyle w:val="TableContents"/>
              <w:bidi w:val="0"/>
              <w:spacing w:before="0" w:after="283"/>
              <w:ind w:left="0" w:right="0" w:hanging="810"/>
              <w:jc w:val="right"/>
              <w:rPr/>
            </w:pPr>
            <w:hyperlink w:anchor="page_43">
              <w:r>
                <w:rPr>
                  <w:rStyle w:val="InternetLink"/>
                </w:rPr>
                <w:t>40</w:t>
              </w:r>
            </w:hyperlink>
          </w:p>
        </w:tc>
      </w:tr>
      <w:tr>
        <w:trPr/>
        <w:tc>
          <w:tcPr>
            <w:tcW w:w="7550" w:type="dxa"/>
            <w:tcBorders/>
            <w:vAlign w:val="center"/>
          </w:tcPr>
          <w:p>
            <w:pPr>
              <w:pStyle w:val="TableContents"/>
              <w:bidi w:val="0"/>
              <w:spacing w:before="0" w:after="283"/>
              <w:ind w:left="0" w:right="0" w:hanging="0"/>
              <w:jc w:val="left"/>
              <w:rPr/>
            </w:pPr>
            <w:hyperlink w:anchor="page_45">
              <w:r>
                <w:rPr>
                  <w:rStyle w:val="InternetLink"/>
                </w:rPr>
                <w:t>5.2 Expiration</w:t>
              </w:r>
            </w:hyperlink>
          </w:p>
        </w:tc>
        <w:tc>
          <w:tcPr>
            <w:tcW w:w="275" w:type="dxa"/>
            <w:tcBorders/>
            <w:vAlign w:val="center"/>
          </w:tcPr>
          <w:p>
            <w:pPr>
              <w:pStyle w:val="TableContents"/>
              <w:bidi w:val="0"/>
              <w:spacing w:before="0" w:after="283"/>
              <w:ind w:left="0" w:right="0" w:hanging="810"/>
              <w:jc w:val="right"/>
              <w:rPr/>
            </w:pPr>
            <w:hyperlink w:anchor="page_45">
              <w:r>
                <w:rPr>
                  <w:rStyle w:val="InternetLink"/>
                </w:rPr>
                <w:t>42</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45">
              <w:r>
                <w:rPr>
                  <w:rStyle w:val="InternetLink"/>
                </w:rPr>
                <w:t>5.3 Issuance of New Rights Certificates</w:t>
              </w:r>
            </w:hyperlink>
          </w:p>
        </w:tc>
        <w:tc>
          <w:tcPr>
            <w:tcW w:w="275" w:type="dxa"/>
            <w:tcBorders/>
            <w:shd w:fill="EEEEEE" w:val="clear"/>
            <w:vAlign w:val="center"/>
          </w:tcPr>
          <w:p>
            <w:pPr>
              <w:pStyle w:val="TableContents"/>
              <w:bidi w:val="0"/>
              <w:spacing w:before="0" w:after="283"/>
              <w:ind w:left="0" w:right="0" w:hanging="810"/>
              <w:jc w:val="right"/>
              <w:rPr/>
            </w:pPr>
            <w:hyperlink w:anchor="page_45">
              <w:r>
                <w:rPr>
                  <w:rStyle w:val="InternetLink"/>
                </w:rPr>
                <w:t>42</w:t>
              </w:r>
            </w:hyperlink>
          </w:p>
        </w:tc>
      </w:tr>
      <w:tr>
        <w:trPr/>
        <w:tc>
          <w:tcPr>
            <w:tcW w:w="7550" w:type="dxa"/>
            <w:tcBorders/>
            <w:vAlign w:val="center"/>
          </w:tcPr>
          <w:p>
            <w:pPr>
              <w:pStyle w:val="TableContents"/>
              <w:bidi w:val="0"/>
              <w:spacing w:before="0" w:after="283"/>
              <w:ind w:left="0" w:right="0" w:hanging="0"/>
              <w:jc w:val="left"/>
              <w:rPr/>
            </w:pPr>
            <w:hyperlink w:anchor="page_45">
              <w:r>
                <w:rPr>
                  <w:rStyle w:val="InternetLink"/>
                </w:rPr>
                <w:t>5.4 Supplements and Amendments</w:t>
              </w:r>
            </w:hyperlink>
          </w:p>
        </w:tc>
        <w:tc>
          <w:tcPr>
            <w:tcW w:w="275" w:type="dxa"/>
            <w:tcBorders/>
            <w:vAlign w:val="center"/>
          </w:tcPr>
          <w:p>
            <w:pPr>
              <w:pStyle w:val="TableContents"/>
              <w:bidi w:val="0"/>
              <w:spacing w:before="0" w:after="283"/>
              <w:ind w:left="0" w:right="0" w:hanging="810"/>
              <w:jc w:val="right"/>
              <w:rPr/>
            </w:pPr>
            <w:hyperlink w:anchor="page_45">
              <w:r>
                <w:rPr>
                  <w:rStyle w:val="InternetLink"/>
                </w:rPr>
                <w:t>42</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47">
              <w:r>
                <w:rPr>
                  <w:rStyle w:val="InternetLink"/>
                </w:rPr>
                <w:t>5.5 Fractional Rights and Fractional Shares</w:t>
              </w:r>
            </w:hyperlink>
          </w:p>
        </w:tc>
        <w:tc>
          <w:tcPr>
            <w:tcW w:w="275" w:type="dxa"/>
            <w:tcBorders/>
            <w:shd w:fill="EEEEEE" w:val="clear"/>
            <w:vAlign w:val="center"/>
          </w:tcPr>
          <w:p>
            <w:pPr>
              <w:pStyle w:val="TableContents"/>
              <w:bidi w:val="0"/>
              <w:spacing w:before="0" w:after="283"/>
              <w:ind w:left="0" w:right="0" w:hanging="810"/>
              <w:jc w:val="right"/>
              <w:rPr/>
            </w:pPr>
            <w:hyperlink w:anchor="page_47">
              <w:r>
                <w:rPr>
                  <w:rStyle w:val="InternetLink"/>
                </w:rPr>
                <w:t>44</w:t>
              </w:r>
            </w:hyperlink>
          </w:p>
        </w:tc>
      </w:tr>
      <w:tr>
        <w:trPr/>
        <w:tc>
          <w:tcPr>
            <w:tcW w:w="7550" w:type="dxa"/>
            <w:tcBorders/>
            <w:vAlign w:val="center"/>
          </w:tcPr>
          <w:p>
            <w:pPr>
              <w:pStyle w:val="TableContents"/>
              <w:bidi w:val="0"/>
              <w:spacing w:before="0" w:after="283"/>
              <w:ind w:left="0" w:right="0" w:hanging="0"/>
              <w:jc w:val="left"/>
              <w:rPr/>
            </w:pPr>
            <w:hyperlink w:anchor="page_47">
              <w:r>
                <w:rPr>
                  <w:rStyle w:val="InternetLink"/>
                </w:rPr>
                <w:t>5.6 Rights of Action</w:t>
              </w:r>
            </w:hyperlink>
          </w:p>
        </w:tc>
        <w:tc>
          <w:tcPr>
            <w:tcW w:w="275" w:type="dxa"/>
            <w:tcBorders/>
            <w:vAlign w:val="center"/>
          </w:tcPr>
          <w:p>
            <w:pPr>
              <w:pStyle w:val="TableContents"/>
              <w:bidi w:val="0"/>
              <w:spacing w:before="0" w:after="283"/>
              <w:ind w:left="0" w:right="0" w:hanging="810"/>
              <w:jc w:val="right"/>
              <w:rPr/>
            </w:pPr>
            <w:hyperlink w:anchor="page_47">
              <w:r>
                <w:rPr>
                  <w:rStyle w:val="InternetLink"/>
                </w:rPr>
                <w:t>44</w:t>
              </w:r>
            </w:hyperlink>
          </w:p>
        </w:tc>
      </w:tr>
      <w:tr>
        <w:trPr/>
        <w:tc>
          <w:tcPr>
            <w:tcW w:w="7550" w:type="dxa"/>
            <w:tcBorders/>
            <w:shd w:fill="EEEEEE" w:val="clear"/>
            <w:vAlign w:val="center"/>
          </w:tcPr>
          <w:p>
            <w:pPr>
              <w:pStyle w:val="TableContents"/>
              <w:bidi w:val="0"/>
              <w:spacing w:before="0" w:after="283"/>
              <w:ind w:left="0" w:right="0" w:hanging="0"/>
              <w:jc w:val="left"/>
              <w:rPr/>
            </w:pPr>
            <w:hyperlink w:anchor="page_48">
              <w:r>
                <w:rPr>
                  <w:rStyle w:val="InternetLink"/>
                </w:rPr>
                <w:t>5.7 Holder of Rights Not Deemed a Shareholder</w:t>
              </w:r>
            </w:hyperlink>
          </w:p>
        </w:tc>
        <w:tc>
          <w:tcPr>
            <w:tcW w:w="275" w:type="dxa"/>
            <w:tcBorders/>
            <w:shd w:fill="EEEEEE" w:val="clear"/>
            <w:vAlign w:val="center"/>
          </w:tcPr>
          <w:p>
            <w:pPr>
              <w:pStyle w:val="TableContents"/>
              <w:bidi w:val="0"/>
              <w:spacing w:before="0" w:after="283"/>
              <w:ind w:left="0" w:right="0" w:hanging="810"/>
              <w:jc w:val="right"/>
              <w:rPr/>
            </w:pPr>
            <w:hyperlink w:anchor="page_48">
              <w:r>
                <w:rPr>
                  <w:rStyle w:val="InternetLink"/>
                </w:rPr>
                <w:t>45</w:t>
              </w:r>
            </w:hyperlink>
          </w:p>
        </w:tc>
      </w:tr>
      <w:tr>
        <w:trPr/>
        <w:tc>
          <w:tcPr>
            <w:tcW w:w="7550" w:type="dxa"/>
            <w:tcBorders/>
            <w:vAlign w:val="center"/>
          </w:tcPr>
          <w:p>
            <w:pPr>
              <w:pStyle w:val="TableContents"/>
              <w:bidi w:val="0"/>
              <w:spacing w:before="0" w:after="283"/>
              <w:ind w:left="0" w:right="0" w:hanging="0"/>
              <w:jc w:val="left"/>
              <w:rPr/>
            </w:pPr>
            <w:hyperlink w:anchor="page_48">
              <w:r>
                <w:rPr>
                  <w:rStyle w:val="InternetLink"/>
                </w:rPr>
                <w:t>5.8 Notice of Proposed Actions</w:t>
              </w:r>
            </w:hyperlink>
          </w:p>
        </w:tc>
        <w:tc>
          <w:tcPr>
            <w:tcW w:w="275" w:type="dxa"/>
            <w:tcBorders/>
            <w:vAlign w:val="center"/>
          </w:tcPr>
          <w:p>
            <w:pPr>
              <w:pStyle w:val="TableContents"/>
              <w:bidi w:val="0"/>
              <w:spacing w:before="0" w:after="283"/>
              <w:jc w:val="right"/>
              <w:rPr/>
            </w:pPr>
            <w:hyperlink w:anchor="page_48">
              <w:r>
                <w:rPr>
                  <w:rStyle w:val="InternetLink"/>
                </w:rPr>
                <w:t>45</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0" w:after="0"/>
        <w:jc w:val="left"/>
        <w:rPr/>
      </w:pPr>
      <w:r>
        <w:rPr/>
      </w:r>
      <w:bookmarkStart w:id="17" w:name="page_3"/>
      <w:bookmarkStart w:id="18" w:name="page_3"/>
      <w:bookmarkEnd w:id="18"/>
    </w:p>
    <w:tbl>
      <w:tblPr>
        <w:tblW w:w="6865" w:type="dxa"/>
        <w:jc w:val="left"/>
        <w:tblInd w:w="0" w:type="dxa"/>
        <w:tblLayout w:type="fixed"/>
        <w:tblCellMar>
          <w:top w:w="0" w:type="dxa"/>
          <w:left w:w="0" w:type="dxa"/>
          <w:bottom w:w="0" w:type="dxa"/>
          <w:right w:w="0" w:type="dxa"/>
        </w:tblCellMar>
      </w:tblPr>
      <w:tblGrid>
        <w:gridCol w:w="6590"/>
        <w:gridCol w:w="275"/>
      </w:tblGrid>
      <w:tr>
        <w:trPr/>
        <w:tc>
          <w:tcPr>
            <w:tcW w:w="6590" w:type="dxa"/>
            <w:tcBorders/>
            <w:shd w:fill="EEEEEE" w:val="clear"/>
            <w:vAlign w:val="center"/>
          </w:tcPr>
          <w:p>
            <w:pPr>
              <w:pStyle w:val="TableContents"/>
              <w:bidi w:val="0"/>
              <w:spacing w:before="0" w:after="283"/>
              <w:ind w:left="0" w:right="0" w:hanging="0"/>
              <w:jc w:val="left"/>
              <w:rPr/>
            </w:pPr>
            <w:hyperlink w:anchor="page_48">
              <w:r>
                <w:rPr>
                  <w:rStyle w:val="InternetLink"/>
                </w:rPr>
                <w:t>5.9 Notices</w:t>
              </w:r>
            </w:hyperlink>
          </w:p>
        </w:tc>
        <w:tc>
          <w:tcPr>
            <w:tcW w:w="275" w:type="dxa"/>
            <w:tcBorders/>
            <w:shd w:fill="EEEEEE" w:val="clear"/>
            <w:vAlign w:val="center"/>
          </w:tcPr>
          <w:p>
            <w:pPr>
              <w:pStyle w:val="TableContents"/>
              <w:bidi w:val="0"/>
              <w:spacing w:before="0" w:after="283"/>
              <w:ind w:left="0" w:right="0" w:hanging="810"/>
              <w:jc w:val="right"/>
              <w:rPr/>
            </w:pPr>
            <w:hyperlink w:anchor="page_48">
              <w:r>
                <w:rPr>
                  <w:rStyle w:val="InternetLink"/>
                </w:rPr>
                <w:t>45</w:t>
              </w:r>
            </w:hyperlink>
          </w:p>
        </w:tc>
      </w:tr>
      <w:tr>
        <w:trPr/>
        <w:tc>
          <w:tcPr>
            <w:tcW w:w="6590" w:type="dxa"/>
            <w:tcBorders/>
            <w:vAlign w:val="center"/>
          </w:tcPr>
          <w:p>
            <w:pPr>
              <w:pStyle w:val="TableContents"/>
              <w:bidi w:val="0"/>
              <w:spacing w:before="0" w:after="283"/>
              <w:ind w:left="0" w:right="0" w:hanging="0"/>
              <w:jc w:val="left"/>
              <w:rPr/>
            </w:pPr>
            <w:hyperlink w:anchor="page_49">
              <w:r>
                <w:rPr>
                  <w:rStyle w:val="InternetLink"/>
                </w:rPr>
                <w:t>5.10 Costs of Enforcement</w:t>
              </w:r>
            </w:hyperlink>
          </w:p>
        </w:tc>
        <w:tc>
          <w:tcPr>
            <w:tcW w:w="275" w:type="dxa"/>
            <w:tcBorders/>
            <w:vAlign w:val="center"/>
          </w:tcPr>
          <w:p>
            <w:pPr>
              <w:pStyle w:val="TableContents"/>
              <w:bidi w:val="0"/>
              <w:spacing w:before="0" w:after="283"/>
              <w:ind w:left="0" w:right="0" w:hanging="810"/>
              <w:jc w:val="right"/>
              <w:rPr/>
            </w:pPr>
            <w:hyperlink w:anchor="page_49">
              <w:r>
                <w:rPr>
                  <w:rStyle w:val="InternetLink"/>
                </w:rPr>
                <w:t>46</w:t>
              </w:r>
            </w:hyperlink>
          </w:p>
        </w:tc>
      </w:tr>
      <w:tr>
        <w:trPr/>
        <w:tc>
          <w:tcPr>
            <w:tcW w:w="6590" w:type="dxa"/>
            <w:tcBorders/>
            <w:shd w:fill="EEEEEE" w:val="clear"/>
            <w:vAlign w:val="center"/>
          </w:tcPr>
          <w:p>
            <w:pPr>
              <w:pStyle w:val="TableContents"/>
              <w:bidi w:val="0"/>
              <w:spacing w:before="0" w:after="283"/>
              <w:ind w:left="0" w:right="0" w:hanging="0"/>
              <w:jc w:val="left"/>
              <w:rPr/>
            </w:pPr>
            <w:hyperlink w:anchor="page_49">
              <w:r>
                <w:rPr>
                  <w:rStyle w:val="InternetLink"/>
                </w:rPr>
                <w:t>5.11 Regulatory Approvals</w:t>
              </w:r>
            </w:hyperlink>
          </w:p>
        </w:tc>
        <w:tc>
          <w:tcPr>
            <w:tcW w:w="275" w:type="dxa"/>
            <w:tcBorders/>
            <w:shd w:fill="EEEEEE" w:val="clear"/>
            <w:vAlign w:val="center"/>
          </w:tcPr>
          <w:p>
            <w:pPr>
              <w:pStyle w:val="TableContents"/>
              <w:bidi w:val="0"/>
              <w:spacing w:before="0" w:after="283"/>
              <w:ind w:left="0" w:right="0" w:hanging="810"/>
              <w:jc w:val="right"/>
              <w:rPr/>
            </w:pPr>
            <w:hyperlink w:anchor="page_49">
              <w:r>
                <w:rPr>
                  <w:rStyle w:val="InternetLink"/>
                </w:rPr>
                <w:t>46</w:t>
              </w:r>
            </w:hyperlink>
          </w:p>
        </w:tc>
      </w:tr>
      <w:tr>
        <w:trPr/>
        <w:tc>
          <w:tcPr>
            <w:tcW w:w="6590" w:type="dxa"/>
            <w:tcBorders/>
            <w:vAlign w:val="center"/>
          </w:tcPr>
          <w:p>
            <w:pPr>
              <w:pStyle w:val="TableContents"/>
              <w:bidi w:val="0"/>
              <w:spacing w:before="0" w:after="283"/>
              <w:ind w:left="0" w:right="0" w:hanging="0"/>
              <w:jc w:val="left"/>
              <w:rPr/>
            </w:pPr>
            <w:hyperlink w:anchor="page_49">
              <w:r>
                <w:rPr>
                  <w:rStyle w:val="InternetLink"/>
                </w:rPr>
                <w:t>5.12 Declaration as to Non-Canadian and Non-United States Holders</w:t>
              </w:r>
            </w:hyperlink>
          </w:p>
        </w:tc>
        <w:tc>
          <w:tcPr>
            <w:tcW w:w="275" w:type="dxa"/>
            <w:tcBorders/>
            <w:vAlign w:val="center"/>
          </w:tcPr>
          <w:p>
            <w:pPr>
              <w:pStyle w:val="TableContents"/>
              <w:bidi w:val="0"/>
              <w:spacing w:before="0" w:after="283"/>
              <w:ind w:left="0" w:right="0" w:hanging="810"/>
              <w:jc w:val="right"/>
              <w:rPr/>
            </w:pPr>
            <w:hyperlink w:anchor="page_49">
              <w:r>
                <w:rPr>
                  <w:rStyle w:val="InternetLink"/>
                </w:rPr>
                <w:t>46</w:t>
              </w:r>
            </w:hyperlink>
          </w:p>
        </w:tc>
      </w:tr>
      <w:tr>
        <w:trPr/>
        <w:tc>
          <w:tcPr>
            <w:tcW w:w="6590" w:type="dxa"/>
            <w:tcBorders/>
            <w:shd w:fill="EEEEEE" w:val="clear"/>
            <w:vAlign w:val="center"/>
          </w:tcPr>
          <w:p>
            <w:pPr>
              <w:pStyle w:val="TableContents"/>
              <w:bidi w:val="0"/>
              <w:spacing w:before="0" w:after="283"/>
              <w:ind w:left="0" w:right="0" w:hanging="0"/>
              <w:jc w:val="left"/>
              <w:rPr/>
            </w:pPr>
            <w:hyperlink w:anchor="page_49">
              <w:r>
                <w:rPr>
                  <w:rStyle w:val="InternetLink"/>
                </w:rPr>
                <w:t>5.13 Successors</w:t>
              </w:r>
            </w:hyperlink>
          </w:p>
        </w:tc>
        <w:tc>
          <w:tcPr>
            <w:tcW w:w="275" w:type="dxa"/>
            <w:tcBorders/>
            <w:shd w:fill="EEEEEE" w:val="clear"/>
            <w:vAlign w:val="center"/>
          </w:tcPr>
          <w:p>
            <w:pPr>
              <w:pStyle w:val="TableContents"/>
              <w:bidi w:val="0"/>
              <w:spacing w:before="0" w:after="283"/>
              <w:ind w:left="0" w:right="0" w:hanging="810"/>
              <w:jc w:val="right"/>
              <w:rPr/>
            </w:pPr>
            <w:hyperlink w:anchor="page_49">
              <w:r>
                <w:rPr>
                  <w:rStyle w:val="InternetLink"/>
                </w:rPr>
                <w:t>46</w:t>
              </w:r>
            </w:hyperlink>
          </w:p>
        </w:tc>
      </w:tr>
      <w:tr>
        <w:trPr/>
        <w:tc>
          <w:tcPr>
            <w:tcW w:w="6590" w:type="dxa"/>
            <w:tcBorders/>
            <w:vAlign w:val="center"/>
          </w:tcPr>
          <w:p>
            <w:pPr>
              <w:pStyle w:val="TableContents"/>
              <w:bidi w:val="0"/>
              <w:spacing w:before="0" w:after="283"/>
              <w:ind w:left="0" w:right="0" w:hanging="0"/>
              <w:jc w:val="left"/>
              <w:rPr/>
            </w:pPr>
            <w:hyperlink w:anchor="page_49">
              <w:r>
                <w:rPr>
                  <w:rStyle w:val="InternetLink"/>
                </w:rPr>
                <w:t>5.14 Benefits of this Agreement</w:t>
              </w:r>
            </w:hyperlink>
          </w:p>
        </w:tc>
        <w:tc>
          <w:tcPr>
            <w:tcW w:w="275" w:type="dxa"/>
            <w:tcBorders/>
            <w:vAlign w:val="center"/>
          </w:tcPr>
          <w:p>
            <w:pPr>
              <w:pStyle w:val="TableContents"/>
              <w:bidi w:val="0"/>
              <w:spacing w:before="0" w:after="283"/>
              <w:ind w:left="0" w:right="0" w:hanging="810"/>
              <w:jc w:val="right"/>
              <w:rPr/>
            </w:pPr>
            <w:hyperlink w:anchor="page_49">
              <w:r>
                <w:rPr>
                  <w:rStyle w:val="InternetLink"/>
                </w:rPr>
                <w:t>46</w:t>
              </w:r>
            </w:hyperlink>
          </w:p>
        </w:tc>
      </w:tr>
      <w:tr>
        <w:trPr/>
        <w:tc>
          <w:tcPr>
            <w:tcW w:w="6590" w:type="dxa"/>
            <w:tcBorders/>
            <w:shd w:fill="EEEEEE" w:val="clear"/>
            <w:vAlign w:val="center"/>
          </w:tcPr>
          <w:p>
            <w:pPr>
              <w:pStyle w:val="TableContents"/>
              <w:bidi w:val="0"/>
              <w:spacing w:before="0" w:after="283"/>
              <w:ind w:left="0" w:right="0" w:hanging="0"/>
              <w:jc w:val="left"/>
              <w:rPr/>
            </w:pPr>
            <w:hyperlink w:anchor="page_50">
              <w:r>
                <w:rPr>
                  <w:rStyle w:val="InternetLink"/>
                </w:rPr>
                <w:t>5.15 Determinations and Actions by the Board of Directors</w:t>
              </w:r>
            </w:hyperlink>
          </w:p>
        </w:tc>
        <w:tc>
          <w:tcPr>
            <w:tcW w:w="275" w:type="dxa"/>
            <w:tcBorders/>
            <w:shd w:fill="EEEEEE" w:val="clear"/>
            <w:vAlign w:val="center"/>
          </w:tcPr>
          <w:p>
            <w:pPr>
              <w:pStyle w:val="TableContents"/>
              <w:bidi w:val="0"/>
              <w:spacing w:before="0" w:after="283"/>
              <w:ind w:left="0" w:right="0" w:hanging="810"/>
              <w:jc w:val="right"/>
              <w:rPr/>
            </w:pPr>
            <w:hyperlink w:anchor="page_50">
              <w:r>
                <w:rPr>
                  <w:rStyle w:val="InternetLink"/>
                </w:rPr>
                <w:t>47</w:t>
              </w:r>
            </w:hyperlink>
          </w:p>
        </w:tc>
      </w:tr>
      <w:tr>
        <w:trPr/>
        <w:tc>
          <w:tcPr>
            <w:tcW w:w="6590" w:type="dxa"/>
            <w:tcBorders/>
            <w:vAlign w:val="center"/>
          </w:tcPr>
          <w:p>
            <w:pPr>
              <w:pStyle w:val="TableContents"/>
              <w:bidi w:val="0"/>
              <w:spacing w:before="0" w:after="283"/>
              <w:ind w:left="0" w:right="0" w:hanging="0"/>
              <w:jc w:val="left"/>
              <w:rPr/>
            </w:pPr>
            <w:hyperlink w:anchor="page_50">
              <w:r>
                <w:rPr>
                  <w:rStyle w:val="InternetLink"/>
                </w:rPr>
                <w:t>5.16 Governing Law and Jurisdiction</w:t>
              </w:r>
            </w:hyperlink>
          </w:p>
        </w:tc>
        <w:tc>
          <w:tcPr>
            <w:tcW w:w="275" w:type="dxa"/>
            <w:tcBorders/>
            <w:vAlign w:val="center"/>
          </w:tcPr>
          <w:p>
            <w:pPr>
              <w:pStyle w:val="TableContents"/>
              <w:bidi w:val="0"/>
              <w:spacing w:before="0" w:after="283"/>
              <w:ind w:left="0" w:right="0" w:hanging="810"/>
              <w:jc w:val="right"/>
              <w:rPr/>
            </w:pPr>
            <w:hyperlink w:anchor="page_50">
              <w:r>
                <w:rPr>
                  <w:rStyle w:val="InternetLink"/>
                </w:rPr>
                <w:t>47</w:t>
              </w:r>
            </w:hyperlink>
          </w:p>
        </w:tc>
      </w:tr>
      <w:tr>
        <w:trPr/>
        <w:tc>
          <w:tcPr>
            <w:tcW w:w="6590" w:type="dxa"/>
            <w:tcBorders/>
            <w:shd w:fill="EEEEEE" w:val="clear"/>
            <w:vAlign w:val="center"/>
          </w:tcPr>
          <w:p>
            <w:pPr>
              <w:pStyle w:val="TableContents"/>
              <w:bidi w:val="0"/>
              <w:spacing w:before="0" w:after="283"/>
              <w:ind w:left="0" w:right="0" w:hanging="0"/>
              <w:jc w:val="left"/>
              <w:rPr/>
            </w:pPr>
            <w:hyperlink w:anchor="page_50">
              <w:r>
                <w:rPr>
                  <w:rStyle w:val="InternetLink"/>
                </w:rPr>
                <w:t>5.17 Language</w:t>
              </w:r>
            </w:hyperlink>
          </w:p>
        </w:tc>
        <w:tc>
          <w:tcPr>
            <w:tcW w:w="275" w:type="dxa"/>
            <w:tcBorders/>
            <w:shd w:fill="EEEEEE" w:val="clear"/>
            <w:vAlign w:val="center"/>
          </w:tcPr>
          <w:p>
            <w:pPr>
              <w:pStyle w:val="TableContents"/>
              <w:bidi w:val="0"/>
              <w:spacing w:before="0" w:after="283"/>
              <w:ind w:left="0" w:right="0" w:hanging="810"/>
              <w:jc w:val="right"/>
              <w:rPr/>
            </w:pPr>
            <w:hyperlink w:anchor="page_50">
              <w:r>
                <w:rPr>
                  <w:rStyle w:val="InternetLink"/>
                </w:rPr>
                <w:t>47</w:t>
              </w:r>
            </w:hyperlink>
          </w:p>
        </w:tc>
      </w:tr>
      <w:tr>
        <w:trPr/>
        <w:tc>
          <w:tcPr>
            <w:tcW w:w="6590" w:type="dxa"/>
            <w:tcBorders/>
            <w:vAlign w:val="center"/>
          </w:tcPr>
          <w:p>
            <w:pPr>
              <w:pStyle w:val="TableContents"/>
              <w:bidi w:val="0"/>
              <w:spacing w:before="0" w:after="283"/>
              <w:ind w:left="0" w:right="0" w:hanging="0"/>
              <w:jc w:val="left"/>
              <w:rPr/>
            </w:pPr>
            <w:hyperlink w:anchor="page_50">
              <w:r>
                <w:rPr>
                  <w:rStyle w:val="InternetLink"/>
                </w:rPr>
                <w:t>5.18 Severability</w:t>
              </w:r>
            </w:hyperlink>
          </w:p>
        </w:tc>
        <w:tc>
          <w:tcPr>
            <w:tcW w:w="275" w:type="dxa"/>
            <w:tcBorders/>
            <w:vAlign w:val="center"/>
          </w:tcPr>
          <w:p>
            <w:pPr>
              <w:pStyle w:val="TableContents"/>
              <w:bidi w:val="0"/>
              <w:spacing w:before="0" w:after="283"/>
              <w:ind w:left="0" w:right="0" w:hanging="810"/>
              <w:jc w:val="right"/>
              <w:rPr/>
            </w:pPr>
            <w:hyperlink w:anchor="page_50">
              <w:r>
                <w:rPr>
                  <w:rStyle w:val="InternetLink"/>
                </w:rPr>
                <w:t>47</w:t>
              </w:r>
            </w:hyperlink>
          </w:p>
        </w:tc>
      </w:tr>
      <w:tr>
        <w:trPr/>
        <w:tc>
          <w:tcPr>
            <w:tcW w:w="6590" w:type="dxa"/>
            <w:tcBorders/>
            <w:shd w:fill="EEEEEE" w:val="clear"/>
            <w:vAlign w:val="center"/>
          </w:tcPr>
          <w:p>
            <w:pPr>
              <w:pStyle w:val="TableContents"/>
              <w:bidi w:val="0"/>
              <w:spacing w:before="0" w:after="283"/>
              <w:ind w:left="0" w:right="0" w:hanging="0"/>
              <w:jc w:val="left"/>
              <w:rPr/>
            </w:pPr>
            <w:hyperlink w:anchor="page_50">
              <w:r>
                <w:rPr>
                  <w:rStyle w:val="InternetLink"/>
                </w:rPr>
                <w:t>5.19 Effective Date</w:t>
              </w:r>
            </w:hyperlink>
          </w:p>
        </w:tc>
        <w:tc>
          <w:tcPr>
            <w:tcW w:w="275" w:type="dxa"/>
            <w:tcBorders/>
            <w:shd w:fill="EEEEEE" w:val="clear"/>
            <w:vAlign w:val="center"/>
          </w:tcPr>
          <w:p>
            <w:pPr>
              <w:pStyle w:val="TableContents"/>
              <w:bidi w:val="0"/>
              <w:spacing w:before="0" w:after="283"/>
              <w:ind w:left="0" w:right="0" w:hanging="810"/>
              <w:jc w:val="right"/>
              <w:rPr/>
            </w:pPr>
            <w:hyperlink w:anchor="page_50">
              <w:r>
                <w:rPr>
                  <w:rStyle w:val="InternetLink"/>
                </w:rPr>
                <w:t>47</w:t>
              </w:r>
            </w:hyperlink>
          </w:p>
        </w:tc>
      </w:tr>
      <w:tr>
        <w:trPr/>
        <w:tc>
          <w:tcPr>
            <w:tcW w:w="6590" w:type="dxa"/>
            <w:tcBorders/>
            <w:vAlign w:val="center"/>
          </w:tcPr>
          <w:p>
            <w:pPr>
              <w:pStyle w:val="TableContents"/>
              <w:bidi w:val="0"/>
              <w:spacing w:before="0" w:after="283"/>
              <w:ind w:left="0" w:right="0" w:hanging="0"/>
              <w:jc w:val="left"/>
              <w:rPr/>
            </w:pPr>
            <w:hyperlink w:anchor="page_50">
              <w:r>
                <w:rPr>
                  <w:rStyle w:val="InternetLink"/>
                </w:rPr>
                <w:t>5.20 Force Majeure</w:t>
              </w:r>
            </w:hyperlink>
          </w:p>
        </w:tc>
        <w:tc>
          <w:tcPr>
            <w:tcW w:w="275" w:type="dxa"/>
            <w:tcBorders/>
            <w:vAlign w:val="center"/>
          </w:tcPr>
          <w:p>
            <w:pPr>
              <w:pStyle w:val="TableContents"/>
              <w:bidi w:val="0"/>
              <w:spacing w:before="0" w:after="283"/>
              <w:ind w:left="0" w:right="0" w:hanging="810"/>
              <w:jc w:val="right"/>
              <w:rPr/>
            </w:pPr>
            <w:hyperlink w:anchor="page_50">
              <w:r>
                <w:rPr>
                  <w:rStyle w:val="InternetLink"/>
                </w:rPr>
                <w:t>47</w:t>
              </w:r>
            </w:hyperlink>
          </w:p>
        </w:tc>
      </w:tr>
      <w:tr>
        <w:trPr/>
        <w:tc>
          <w:tcPr>
            <w:tcW w:w="6590" w:type="dxa"/>
            <w:tcBorders/>
            <w:shd w:fill="EEEEEE" w:val="clear"/>
            <w:vAlign w:val="center"/>
          </w:tcPr>
          <w:p>
            <w:pPr>
              <w:pStyle w:val="TableContents"/>
              <w:bidi w:val="0"/>
              <w:spacing w:before="0" w:after="283"/>
              <w:ind w:left="0" w:right="0" w:hanging="0"/>
              <w:jc w:val="left"/>
              <w:rPr/>
            </w:pPr>
            <w:hyperlink w:anchor="page_51">
              <w:r>
                <w:rPr>
                  <w:rStyle w:val="InternetLink"/>
                </w:rPr>
                <w:t>5.21 Time of the Essence</w:t>
              </w:r>
            </w:hyperlink>
          </w:p>
        </w:tc>
        <w:tc>
          <w:tcPr>
            <w:tcW w:w="275" w:type="dxa"/>
            <w:tcBorders/>
            <w:shd w:fill="EEEEEE" w:val="clear"/>
            <w:vAlign w:val="center"/>
          </w:tcPr>
          <w:p>
            <w:pPr>
              <w:pStyle w:val="TableContents"/>
              <w:bidi w:val="0"/>
              <w:spacing w:before="0" w:after="283"/>
              <w:ind w:left="0" w:right="0" w:hanging="810"/>
              <w:jc w:val="right"/>
              <w:rPr/>
            </w:pPr>
            <w:hyperlink w:anchor="page_51">
              <w:r>
                <w:rPr>
                  <w:rStyle w:val="InternetLink"/>
                </w:rPr>
                <w:t>48</w:t>
              </w:r>
            </w:hyperlink>
          </w:p>
        </w:tc>
      </w:tr>
      <w:tr>
        <w:trPr/>
        <w:tc>
          <w:tcPr>
            <w:tcW w:w="6590" w:type="dxa"/>
            <w:tcBorders/>
            <w:vAlign w:val="center"/>
          </w:tcPr>
          <w:p>
            <w:pPr>
              <w:pStyle w:val="TableContents"/>
              <w:bidi w:val="0"/>
              <w:spacing w:before="0" w:after="283"/>
              <w:ind w:left="0" w:right="0" w:hanging="0"/>
              <w:jc w:val="left"/>
              <w:rPr/>
            </w:pPr>
            <w:hyperlink w:anchor="page_51">
              <w:r>
                <w:rPr>
                  <w:rStyle w:val="InternetLink"/>
                </w:rPr>
                <w:t>5.22 Counterparts</w:t>
              </w:r>
            </w:hyperlink>
          </w:p>
        </w:tc>
        <w:tc>
          <w:tcPr>
            <w:tcW w:w="275" w:type="dxa"/>
            <w:tcBorders/>
            <w:vAlign w:val="center"/>
          </w:tcPr>
          <w:p>
            <w:pPr>
              <w:pStyle w:val="TableContents"/>
              <w:bidi w:val="0"/>
              <w:spacing w:before="0" w:after="283"/>
              <w:jc w:val="right"/>
              <w:rPr/>
            </w:pPr>
            <w:hyperlink w:anchor="page_51">
              <w:r>
                <w:rPr>
                  <w:rStyle w:val="InternetLink"/>
                </w:rPr>
                <w:t>48</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rPr>
      </w:pPr>
      <w:bookmarkStart w:id="19" w:name="page_4"/>
      <w:bookmarkEnd w:id="19"/>
      <w:r>
        <w:rPr>
          <w:b/>
        </w:rPr>
        <w:t>SHAREHOLDER RIGHTS PLAN AGREEMENT</w:t>
      </w:r>
    </w:p>
    <w:p>
      <w:pPr>
        <w:pStyle w:val="TextBody"/>
        <w:bidi w:val="0"/>
        <w:spacing w:before="200" w:after="200"/>
        <w:jc w:val="both"/>
        <w:rPr/>
      </w:pPr>
      <w:r>
        <w:rPr>
          <w:b/>
        </w:rPr>
        <w:t xml:space="preserve">THIS AGREEMENT </w:t>
      </w:r>
      <w:r>
        <w:rPr/>
        <w:t>is made as of the 10</w:t>
      </w:r>
      <w:r>
        <w:rPr>
          <w:position w:val="8"/>
          <w:sz w:val="19"/>
        </w:rPr>
        <w:t>th</w:t>
      </w:r>
      <w:r>
        <w:rPr/>
        <w:t xml:space="preserve"> day of August, 2026 between:</w:t>
      </w:r>
    </w:p>
    <w:p>
      <w:pPr>
        <w:pStyle w:val="TextBody"/>
        <w:bidi w:val="0"/>
        <w:spacing w:before="200" w:after="200"/>
        <w:ind w:left="720" w:right="0" w:hanging="0"/>
        <w:jc w:val="both"/>
        <w:rPr/>
      </w:pPr>
      <w:r>
        <w:rPr>
          <w:b/>
        </w:rPr>
        <w:t>SPHERE 3D CORP.</w:t>
      </w:r>
      <w:r>
        <w:rPr/>
        <w:t>, a corporation subsisting under the laws of Ontario (the "</w:t>
      </w:r>
      <w:r>
        <w:rPr>
          <w:b/>
        </w:rPr>
        <w:t>Corporation</w:t>
      </w:r>
      <w:r>
        <w:rPr/>
        <w:t>")</w:t>
      </w:r>
    </w:p>
    <w:p>
      <w:pPr>
        <w:pStyle w:val="TextBody"/>
        <w:bidi w:val="0"/>
        <w:spacing w:before="200" w:after="200"/>
        <w:jc w:val="both"/>
        <w:rPr>
          <w:b/>
        </w:rPr>
      </w:pPr>
      <w:r>
        <w:rPr>
          <w:b/>
        </w:rPr>
        <w:t>AND:</w:t>
      </w:r>
    </w:p>
    <w:p>
      <w:pPr>
        <w:pStyle w:val="TextBody"/>
        <w:bidi w:val="0"/>
        <w:spacing w:before="200" w:after="200"/>
        <w:ind w:left="720" w:right="0" w:hanging="0"/>
        <w:jc w:val="both"/>
        <w:rPr/>
      </w:pPr>
      <w:r>
        <w:rPr>
          <w:b/>
        </w:rPr>
        <w:t>TSX TRUST COMPANY</w:t>
      </w:r>
      <w:r>
        <w:rPr/>
        <w:t>, a trust company existing under the laws of Canada, and authorized to carry on the business of a trust company in each of the Provinces and Territories of Canada, as rights agent (the "</w:t>
      </w:r>
      <w:r>
        <w:rPr>
          <w:b/>
        </w:rPr>
        <w:t>Rights Agent</w:t>
      </w:r>
      <w:r>
        <w:rPr/>
        <w:t>").</w:t>
      </w:r>
    </w:p>
    <w:p>
      <w:pPr>
        <w:pStyle w:val="TextBody"/>
        <w:bidi w:val="0"/>
        <w:spacing w:before="200" w:after="200"/>
        <w:jc w:val="both"/>
        <w:rPr>
          <w:b/>
        </w:rPr>
      </w:pPr>
      <w:r>
        <w:rPr>
          <w:b/>
        </w:rPr>
        <w:t>WHEREAS:</w:t>
      </w:r>
    </w:p>
    <w:p>
      <w:pPr>
        <w:pStyle w:val="TextBody"/>
        <w:bidi w:val="0"/>
        <w:spacing w:before="200" w:after="200"/>
        <w:ind w:left="720" w:right="0" w:hanging="0"/>
        <w:jc w:val="both"/>
        <w:rPr/>
      </w:pPr>
      <w:r>
        <w:rPr/>
        <w:t>A. the Board of Directors, in the exercise of its fiduciary duties to the Corporation, has determined that it is in the best interests of the Corporation to adopt a shareholder rights plan to ensure, to the extent possible, that all shareholders of the Corporation are treated fairly in connection with any take-over bid for the Corporation;</w:t>
      </w:r>
    </w:p>
    <w:p>
      <w:pPr>
        <w:pStyle w:val="TextBody"/>
        <w:bidi w:val="0"/>
        <w:spacing w:before="200" w:after="200"/>
        <w:ind w:left="720" w:right="0" w:hanging="0"/>
        <w:jc w:val="both"/>
        <w:rPr/>
      </w:pPr>
      <w:r>
        <w:rPr/>
        <w:t>B. the Board of Directors, in the exercise of its fiduciary duties to the Corporation, has determined that it is in the best interests of the Corporation to ensure that the shareholder rights plan does not have an "Acquiring Person" beneficial ownership threshold below 20% of the then-outstanding Common Shares (as defined herein);</w:t>
      </w:r>
    </w:p>
    <w:p>
      <w:pPr>
        <w:pStyle w:val="TextBody"/>
        <w:bidi w:val="0"/>
        <w:spacing w:before="200" w:after="200"/>
        <w:ind w:left="720" w:right="0" w:hanging="0"/>
        <w:jc w:val="both"/>
        <w:rPr/>
      </w:pPr>
      <w:r>
        <w:rPr/>
        <w:t>C. the Corporation is subject to Canadian and United States securities laws, and the Board of Directors, in the exercise of its fiduciary duties to the Corporation, seeks to comply with those obligations in this Agreement (as defined below);</w:t>
      </w:r>
    </w:p>
    <w:p>
      <w:pPr>
        <w:pStyle w:val="TextBody"/>
        <w:bidi w:val="0"/>
        <w:spacing w:before="200" w:after="200"/>
        <w:ind w:left="720" w:right="0" w:hanging="0"/>
        <w:jc w:val="both"/>
        <w:rPr/>
      </w:pPr>
      <w:r>
        <w:rPr/>
        <w:t>D. the Board of Directors has determined that the shareholder rights plan should take effect immediately;</w:t>
      </w:r>
    </w:p>
    <w:p>
      <w:pPr>
        <w:pStyle w:val="TextBody"/>
        <w:bidi w:val="0"/>
        <w:spacing w:before="200" w:after="200"/>
        <w:ind w:left="720" w:right="0" w:hanging="0"/>
        <w:jc w:val="both"/>
        <w:rPr/>
      </w:pPr>
      <w:r>
        <w:rPr/>
        <w:t>E. in order to implement the adoption of the shareholder rights plan as established by this shareholder rights plan agreement (this "</w:t>
      </w:r>
      <w:r>
        <w:rPr>
          <w:b/>
        </w:rPr>
        <w:t>Agreement</w:t>
      </w:r>
      <w:r>
        <w:rPr/>
        <w:t>"), the Board of Directors has authorized the issuance of:</w:t>
      </w:r>
    </w:p>
    <w:p>
      <w:pPr>
        <w:pStyle w:val="TextBody"/>
        <w:bidi w:val="0"/>
        <w:spacing w:before="200" w:after="200"/>
        <w:ind w:left="1440" w:right="0" w:hanging="0"/>
        <w:jc w:val="both"/>
        <w:rPr/>
      </w:pPr>
      <w:r>
        <w:rPr/>
        <w:t>(a) one Right (as defined herein) effective at the Record Time (as defined herein) in respect of each Voting Share outstanding at the Record Time; and</w:t>
      </w:r>
    </w:p>
    <w:p>
      <w:pPr>
        <w:pStyle w:val="TextBody"/>
        <w:bidi w:val="0"/>
        <w:spacing w:before="200" w:after="200"/>
        <w:ind w:left="1440" w:right="0" w:hanging="0"/>
        <w:jc w:val="both"/>
        <w:rPr/>
      </w:pPr>
      <w:r>
        <w:rPr/>
        <w:t>(b) one Right in respect of each Voting Share issued after the Record Time and prior to the earlier of the Separation Time (as defined herein) and the Expiration Time (as defined herein);</w:t>
      </w:r>
    </w:p>
    <w:p>
      <w:pPr>
        <w:pStyle w:val="TextBody"/>
        <w:bidi w:val="0"/>
        <w:spacing w:before="200" w:after="200"/>
        <w:ind w:left="720" w:right="0" w:hanging="0"/>
        <w:jc w:val="both"/>
        <w:rPr/>
      </w:pPr>
      <w:r>
        <w:rPr/>
        <w:t>F. each Right issued pursuant to this Agreement entitles the holder thereof, from and after the Separation Time, to purchase securities of the Corporation pursuant to the terms and subject to the conditions set forth herein; and</w:t>
      </w:r>
    </w:p>
    <w:p>
      <w:pPr>
        <w:pStyle w:val="TextBody"/>
        <w:bidi w:val="0"/>
        <w:spacing w:before="200" w:after="200"/>
        <w:ind w:left="720" w:right="0" w:hanging="0"/>
        <w:jc w:val="both"/>
        <w:rPr/>
      </w:pPr>
      <w:r>
        <w:rPr/>
        <w:t>G. the Corporation desires to appoint the Rights Agent to act on behalf of the Corporation and the holders of Rights, and the Rights Agent is willing to so act, in connection with the issuance, transfer, exchange and replacement of Rights Certificates (as defined herein), the exercise of Rights and other matters referred to herein.</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20" w:name="page_51"/>
      <w:bookmarkEnd w:id="20"/>
      <w:r>
        <w:rPr>
          <w:b/>
        </w:rPr>
        <w:t>NOW THEREFORE</w:t>
      </w:r>
      <w:r>
        <w:rPr/>
        <w:t>, in consideration of the premises and the respective covenants and agreements set forth herein, the Corporation and the Rights Agent hereby agree as follows:</w:t>
      </w:r>
    </w:p>
    <w:p>
      <w:pPr>
        <w:pStyle w:val="TextBody"/>
        <w:bidi w:val="0"/>
        <w:spacing w:before="200" w:after="200"/>
        <w:jc w:val="center"/>
        <w:rPr/>
      </w:pPr>
      <w:r>
        <w:rPr>
          <w:b/>
        </w:rPr>
        <w:t>ARTICLE 1</w:t>
      </w:r>
      <w:r>
        <w:rPr/>
        <w:br/>
      </w:r>
      <w:r>
        <w:rPr>
          <w:b/>
        </w:rPr>
        <w:t>INTERPRETATION</w:t>
      </w:r>
    </w:p>
    <w:p>
      <w:pPr>
        <w:pStyle w:val="TextBody"/>
        <w:bidi w:val="0"/>
        <w:spacing w:before="200" w:after="200"/>
        <w:ind w:left="720" w:right="0" w:hanging="0"/>
        <w:jc w:val="both"/>
        <w:rPr/>
      </w:pPr>
      <w:r>
        <w:rPr>
          <w:b/>
        </w:rPr>
        <w:t>1.1</w:t>
      </w:r>
      <w:r>
        <w:rPr/>
        <w:t> </w:t>
      </w:r>
      <w:r>
        <w:rPr>
          <w:b/>
        </w:rPr>
        <w:t>Certain Definitions</w:t>
      </w:r>
    </w:p>
    <w:p>
      <w:pPr>
        <w:pStyle w:val="TextBody"/>
        <w:bidi w:val="0"/>
        <w:spacing w:before="200" w:after="200"/>
        <w:jc w:val="both"/>
        <w:rPr/>
      </w:pPr>
      <w:r>
        <w:rPr/>
        <w:t>For the purposes of this Agreement, including the recitals hereto, the following terms have the meanings indicated:</w:t>
      </w:r>
    </w:p>
    <w:p>
      <w:pPr>
        <w:pStyle w:val="TextBody"/>
        <w:bidi w:val="0"/>
        <w:spacing w:before="200" w:after="200"/>
        <w:ind w:left="1440" w:right="0" w:hanging="0"/>
        <w:jc w:val="both"/>
        <w:rPr/>
      </w:pPr>
      <w:r>
        <w:rPr/>
        <w:t>(a) "</w:t>
      </w:r>
      <w:r>
        <w:rPr>
          <w:b/>
        </w:rPr>
        <w:t>Acquiring Person</w:t>
      </w:r>
      <w:r>
        <w:rPr/>
        <w:t>" means any Person who is the Beneficial Owner of 20% or more of the then outstanding Voting Shares, but does not include:</w:t>
      </w:r>
    </w:p>
    <w:p>
      <w:pPr>
        <w:pStyle w:val="TextBody"/>
        <w:bidi w:val="0"/>
        <w:spacing w:before="200" w:after="200"/>
        <w:ind w:left="2160" w:right="0" w:hanging="0"/>
        <w:jc w:val="both"/>
        <w:rPr/>
      </w:pPr>
      <w:r>
        <w:rPr/>
        <w:t>(i) the Corporation or any Subsidiary of the Corporation;</w:t>
      </w:r>
    </w:p>
    <w:p>
      <w:pPr>
        <w:pStyle w:val="TextBody"/>
        <w:bidi w:val="0"/>
        <w:spacing w:before="200" w:after="200"/>
        <w:ind w:left="2160" w:right="0" w:hanging="0"/>
        <w:jc w:val="both"/>
        <w:rPr/>
      </w:pPr>
      <w:r>
        <w:rPr/>
        <w:t>(ii) any Person who becomes the Beneficial Owner of 20% or more of the then outstanding Voting Shares as a result of any one or a combination of:</w:t>
      </w:r>
    </w:p>
    <w:p>
      <w:pPr>
        <w:pStyle w:val="TextBody"/>
        <w:bidi w:val="0"/>
        <w:spacing w:before="200" w:after="200"/>
        <w:ind w:left="2880" w:right="0" w:hanging="0"/>
        <w:jc w:val="both"/>
        <w:rPr/>
      </w:pPr>
      <w:r>
        <w:rPr/>
        <w:t>(A) a Voting Share Reduction;</w:t>
      </w:r>
    </w:p>
    <w:p>
      <w:pPr>
        <w:pStyle w:val="TextBody"/>
        <w:bidi w:val="0"/>
        <w:spacing w:before="200" w:after="200"/>
        <w:ind w:left="2880" w:right="0" w:hanging="0"/>
        <w:jc w:val="both"/>
        <w:rPr/>
      </w:pPr>
      <w:r>
        <w:rPr/>
        <w:t>(B) a Permitted Bid Acquisition;</w:t>
      </w:r>
    </w:p>
    <w:p>
      <w:pPr>
        <w:pStyle w:val="TextBody"/>
        <w:bidi w:val="0"/>
        <w:spacing w:before="200" w:after="200"/>
        <w:ind w:left="2880" w:right="0" w:hanging="0"/>
        <w:jc w:val="both"/>
        <w:rPr/>
      </w:pPr>
      <w:r>
        <w:rPr/>
        <w:t>(C) an Exempt Acquisition;</w:t>
      </w:r>
    </w:p>
    <w:p>
      <w:pPr>
        <w:pStyle w:val="TextBody"/>
        <w:bidi w:val="0"/>
        <w:spacing w:before="200" w:after="200"/>
        <w:ind w:left="2880" w:right="0" w:hanging="0"/>
        <w:jc w:val="both"/>
        <w:rPr/>
      </w:pPr>
      <w:r>
        <w:rPr/>
        <w:t>(D) a Convertible Security Acquisition; or</w:t>
      </w:r>
    </w:p>
    <w:p>
      <w:pPr>
        <w:pStyle w:val="TextBody"/>
        <w:bidi w:val="0"/>
        <w:spacing w:before="200" w:after="200"/>
        <w:ind w:left="2880" w:right="0" w:hanging="0"/>
        <w:jc w:val="both"/>
        <w:rPr/>
      </w:pPr>
      <w:r>
        <w:rPr/>
        <w:t>(E) a Pro Rata Acquisition;</w:t>
      </w:r>
    </w:p>
    <w:p>
      <w:pPr>
        <w:pStyle w:val="TextBody"/>
        <w:bidi w:val="0"/>
        <w:spacing w:before="200" w:after="200"/>
        <w:ind w:left="2160" w:right="0" w:hanging="0"/>
        <w:jc w:val="both"/>
        <w:rPr/>
      </w:pPr>
      <w:r>
        <w:rPr/>
        <w:t>provided, however, that if a Person becomes the Beneficial Owner of 20% or more of the then outstanding Voting Shares by reason of any one or a combination of a Voting Share Reduction, a Permitted Bid Acquisition, an Exempt Acquisition, a Convertible Security Acquisition or a Pro Rata Acquisition, and thereafter becomes the Beneficial Owner of any additional Voting Shares (other than pursuant to any one or a combination of a Voting Share Reduction, a Permitted Bid Acquisition, an Exempt Acquisition, a Convertible Security Acquisition or a Pro Rata Acquisition), then, as of the date and time that such Person becomes the Beneficial Owner of such additional Voting Shares, such Person shall become an "</w:t>
      </w:r>
      <w:r>
        <w:rPr>
          <w:b/>
        </w:rPr>
        <w:t>Acquiring Person</w:t>
      </w:r>
      <w:r>
        <w:rPr/>
        <w:t>";</w:t>
      </w:r>
    </w:p>
    <w:p>
      <w:pPr>
        <w:pStyle w:val="TextBody"/>
        <w:bidi w:val="0"/>
        <w:spacing w:before="200" w:after="200"/>
        <w:ind w:left="2160" w:right="0" w:hanging="0"/>
        <w:jc w:val="both"/>
        <w:rPr/>
      </w:pPr>
      <w:r>
        <w:rPr/>
        <w:t>(iii) for a period of five (5) days after the Disqualification Date, only once for any Person and its Affiliates/Associates in the aggregate, any Person who becomes the Beneficial Owner of 20% or more of the outstanding Voting Shares as a result of such Person becoming disqualified from relying on Subsection 1.1(f)(ii)(B) where such disqualification results solely because such Person is making or has announced a current intention to make a Take-over Bid, either alone or by acting jointly or in concert with any other Person, unless such disqualified Person during such five (5) day period acquires additional Voting Shares. For the purposes of this definition, "</w:t>
      </w:r>
      <w:r>
        <w:rPr>
          <w:b/>
        </w:rPr>
        <w:t>Disqualification Date</w:t>
      </w:r>
      <w:r>
        <w:rPr/>
        <w:t>" means the first date of a public announcement that such Person is making or intends to make a Take-over Bid, either alone or by acting jointly or in concert with another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21" w:name="page_61"/>
      <w:bookmarkEnd w:id="21"/>
      <w:r>
        <w:rPr/>
        <w:t>(iv) an underwriter or a member of a banking or selling group that becomes the Beneficial Owner of 20% or more of the Voting Shares in connection with a distribution of securities of the Corporation pursuant to a prospectus or by way of a private placement; or</w:t>
      </w:r>
    </w:p>
    <w:p>
      <w:pPr>
        <w:pStyle w:val="TextBody"/>
        <w:bidi w:val="0"/>
        <w:spacing w:before="200" w:after="200"/>
        <w:ind w:left="2160" w:right="0" w:hanging="0"/>
        <w:jc w:val="both"/>
        <w:rPr/>
      </w:pPr>
      <w:r>
        <w:rPr/>
        <w:t>(v) a Person (a "</w:t>
      </w:r>
      <w:r>
        <w:rPr>
          <w:b/>
        </w:rPr>
        <w:t>Grandfathered Person</w:t>
      </w:r>
      <w:r>
        <w:rPr/>
        <w:t>") who is the Beneficial Owner of more than 20% of the outstanding Voting Shares determined as of the time of the public announcement of this Agreement; provided, however, that this exception shall not be, and shall cease to be, applicable to a Grandfathered Person in the event that such Grandfathered Person shall, after time of the public announcement of this Agreement: (1) cease to own more than 20% of the outstanding Voting Shares or (2) become the Beneficial Owner of any additional Voting Shares (other than pursuant to any one or a combination of a Voting Share Reduction, a Permitted Bid Acquisition, an Exempt Acquisition, a Convertible Security Acquisition or a Pro Rata Acquisition).</w:t>
      </w:r>
    </w:p>
    <w:p>
      <w:pPr>
        <w:pStyle w:val="TextBody"/>
        <w:bidi w:val="0"/>
        <w:spacing w:before="200" w:after="200"/>
        <w:ind w:left="1440" w:right="0" w:hanging="0"/>
        <w:jc w:val="both"/>
        <w:rPr/>
      </w:pPr>
      <w:r>
        <w:rPr/>
        <w:t>(b) "</w:t>
      </w:r>
      <w:r>
        <w:rPr>
          <w:b/>
        </w:rPr>
        <w:t>Actions</w:t>
      </w:r>
      <w:r>
        <w:rPr/>
        <w:t>" has the meaning ascribed thereto in Section 5.17.</w:t>
      </w:r>
    </w:p>
    <w:p>
      <w:pPr>
        <w:pStyle w:val="TextBody"/>
        <w:bidi w:val="0"/>
        <w:spacing w:before="200" w:after="200"/>
        <w:ind w:left="1440" w:right="0" w:hanging="0"/>
        <w:jc w:val="both"/>
        <w:rPr/>
      </w:pPr>
      <w:r>
        <w:rPr/>
        <w:t>(c) "</w:t>
      </w:r>
      <w:r>
        <w:rPr>
          <w:b/>
        </w:rPr>
        <w:t>Affiliate</w:t>
      </w:r>
      <w:r>
        <w:rPr/>
        <w:t>", when used to indicate a relationship with a specified Person, means a Person that directly, or indirectly through one or more intermediaries, controls, or is controlled by, or is under common control with, such specified Person.</w:t>
      </w:r>
    </w:p>
    <w:p>
      <w:pPr>
        <w:pStyle w:val="TextBody"/>
        <w:bidi w:val="0"/>
        <w:spacing w:before="200" w:after="200"/>
        <w:ind w:left="1440" w:right="0" w:hanging="0"/>
        <w:jc w:val="both"/>
        <w:rPr/>
      </w:pPr>
      <w:r>
        <w:rPr/>
        <w:t>(d) "</w:t>
      </w:r>
      <w:r>
        <w:rPr>
          <w:b/>
        </w:rPr>
        <w:t>Agreement</w:t>
      </w:r>
      <w:r>
        <w:rPr/>
        <w:t>" means this shareholder rights plan agreement between the Corporation and the Rights Agent, as amended, supplemented or restated from time to time.</w:t>
      </w:r>
    </w:p>
    <w:p>
      <w:pPr>
        <w:pStyle w:val="TextBody"/>
        <w:bidi w:val="0"/>
        <w:spacing w:before="200" w:after="200"/>
        <w:ind w:left="1440" w:right="0" w:hanging="0"/>
        <w:jc w:val="both"/>
        <w:rPr/>
      </w:pPr>
      <w:r>
        <w:rPr/>
        <w:t>(e) "</w:t>
      </w:r>
      <w:r>
        <w:rPr>
          <w:b/>
        </w:rPr>
        <w:t>Associate</w:t>
      </w:r>
      <w:r>
        <w:rPr/>
        <w:t>" when used to indicate a relationship with a specified Person, means any relative of such specified Person who has the same home as such specified Person, or any person to whom such specified Person is married, or any person with whom such specified Person is living in a conjugal relationship outside marriage, or any relative of such spouse or other Person who has the same home as such specified Person.</w:t>
      </w:r>
    </w:p>
    <w:p>
      <w:pPr>
        <w:pStyle w:val="TextBody"/>
        <w:bidi w:val="0"/>
        <w:spacing w:before="200" w:after="200"/>
        <w:ind w:left="2160" w:right="0" w:hanging="0"/>
        <w:jc w:val="both"/>
        <w:rPr/>
      </w:pPr>
      <w:r>
        <w:rPr/>
        <w:t>(f) (i) A Person shall be deemed the "</w:t>
      </w:r>
      <w:r>
        <w:rPr>
          <w:b/>
        </w:rPr>
        <w:t>Beneficial Owner</w:t>
      </w:r>
      <w:r>
        <w:rPr/>
        <w:t>" of, and to have "</w:t>
      </w:r>
      <w:r>
        <w:rPr>
          <w:b/>
        </w:rPr>
        <w:t>Beneficial Ownership</w:t>
      </w:r>
      <w:r>
        <w:rPr/>
        <w:t>" of, and to "</w:t>
      </w:r>
      <w:r>
        <w:rPr>
          <w:b/>
        </w:rPr>
        <w:t>Beneficially Own</w:t>
      </w:r>
      <w:r>
        <w:rPr/>
        <w:t>":</w:t>
      </w:r>
    </w:p>
    <w:p>
      <w:pPr>
        <w:pStyle w:val="TextBody"/>
        <w:bidi w:val="0"/>
        <w:spacing w:before="200" w:after="200"/>
        <w:ind w:left="2880" w:right="0" w:hanging="0"/>
        <w:jc w:val="both"/>
        <w:rPr/>
      </w:pPr>
      <w:r>
        <w:rPr/>
        <w:t xml:space="preserve">(A) any securities as to which such Person or any of such Person's Affiliates or Associates is the owner at law or in equity, including but not limited to beneficial ownership as determined pursuant to Rule 13d-3 of the General Rules and Regulations under the </w:t>
      </w:r>
      <w:r>
        <w:rPr>
          <w:i/>
        </w:rPr>
        <w:t>U.S. Exchange Act</w:t>
      </w:r>
      <w:r>
        <w:rPr/>
        <w:t>;</w:t>
      </w:r>
    </w:p>
    <w:p>
      <w:pPr>
        <w:pStyle w:val="TextBody"/>
        <w:bidi w:val="0"/>
        <w:spacing w:before="200" w:after="200"/>
        <w:ind w:left="2880" w:right="0" w:hanging="0"/>
        <w:jc w:val="both"/>
        <w:rPr/>
      </w:pPr>
      <w:r>
        <w:rPr/>
        <w:t>(B) any securities as to which such Person or any of such Person's Affiliates or Associates has the right to become the owner at law or in equity, whether such right is exercisable immediately or within a period of 60 days thereafter and whether or not on the condition or occurrence of a contingency or the making of one or more payments, upon the conversion, exchange or exercise of any Convertible Security or pursuant to any agreement, arrangement, pledge or understanding, whether or not in writing, other than:</w:t>
      </w:r>
    </w:p>
    <w:p>
      <w:pPr>
        <w:pStyle w:val="TextBody"/>
        <w:bidi w:val="0"/>
        <w:spacing w:before="200" w:after="200"/>
        <w:ind w:left="3600" w:right="0" w:hanging="0"/>
        <w:jc w:val="both"/>
        <w:rPr/>
      </w:pPr>
      <w:r>
        <w:rPr/>
        <w:t>(1) customary agreements with and between underwriters and banking group or selling group members with respect to a distribution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3600" w:right="0" w:hanging="0"/>
        <w:jc w:val="both"/>
        <w:rPr/>
      </w:pPr>
      <w:bookmarkStart w:id="22" w:name="page_71"/>
      <w:bookmarkEnd w:id="22"/>
      <w:r>
        <w:rPr/>
        <w:t>(2) pledges of securities in the ordinary course of the pledgee's business; or</w:t>
      </w:r>
    </w:p>
    <w:p>
      <w:pPr>
        <w:pStyle w:val="TextBody"/>
        <w:bidi w:val="0"/>
        <w:spacing w:before="200" w:after="200"/>
        <w:ind w:left="3600" w:right="0" w:hanging="0"/>
        <w:jc w:val="both"/>
        <w:rPr/>
      </w:pPr>
      <w:r>
        <w:rPr/>
        <w:t>(3) agreements between the Corporation and any Person pursuant to an amalgamation, merger, arrangement, business combination or other similar transaction (statutory or otherwise, but for greater certainty not including a Take-over Bid) that is conditional upon the approval of the shareholders of the Corporation to be obtained prior to such Person acquiring such securities;</w:t>
      </w:r>
    </w:p>
    <w:p>
      <w:pPr>
        <w:pStyle w:val="TextBody"/>
        <w:bidi w:val="0"/>
        <w:spacing w:before="200" w:after="200"/>
        <w:ind w:left="2880" w:right="0" w:hanging="0"/>
        <w:jc w:val="both"/>
        <w:rPr/>
      </w:pPr>
      <w:r>
        <w:rPr/>
        <w:t>(C) any securities which are subject to a lock-up agreement or similar commitment to deposit or tender such securities to a Take-over Bid made by such Person or any of such Person's Affiliates or Associates or any other Person acting jointly or in concert with such Person;</w:t>
      </w:r>
    </w:p>
    <w:p>
      <w:pPr>
        <w:pStyle w:val="TextBody"/>
        <w:bidi w:val="0"/>
        <w:spacing w:before="200" w:after="200"/>
        <w:ind w:left="2880" w:right="0" w:hanging="0"/>
        <w:jc w:val="both"/>
        <w:rPr/>
      </w:pPr>
      <w:r>
        <w:rPr/>
        <w:t xml:space="preserve">(D) any securities that are the subject of a derivative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in determining the number of shares of Voting Shares that the subject Person will be deemed to Beneficially Own by virtue of the operation of this </w:t>
      </w:r>
      <w:r>
        <w:rPr>
          <w:u w:val="single"/>
        </w:rPr>
        <w:t>‎</w:t>
      </w:r>
      <w:r>
        <w:rPr/>
        <w:t>1.1(f)(i)(D), the subject Person will be deemed to Beneficially Own (without duplication) the notional or other number of Voting Shares (without regard to any "short" or similar position)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Voting Shares is specified in such documentation or otherwise) as determined by the Board of Directors in good faith to be the number of Voting Shares to which the derivative position relates), and for greater certainty, a Person shall also be deemed to Beneficially Own any Voting Shares held by a counterparty to such derivative to the extent that such counterparty holds such Voting Shares to hedge, offset or otherwise support its obligations under such derivative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880" w:right="0" w:hanging="0"/>
        <w:jc w:val="both"/>
        <w:rPr/>
      </w:pPr>
      <w:bookmarkStart w:id="23" w:name="page_81"/>
      <w:bookmarkEnd w:id="23"/>
      <w:r>
        <w:rPr/>
        <w:t>(E) any securities in respect of which the Board of Directors has determined, acting reasonably and in good faith, that any agreement, arrangement, understanding, transaction, derivative position or series of transactions has as a primary purpose or effect the avoidance or circumvention of this Agreement, including the application of this Section 1.1(f)(i), or has substantially the same economic or practical effect as Beneficial Ownership of such securities, in which case such securities shall be deemed to be Beneficially Owned by such Person to the extent determined by the Board; and</w:t>
      </w:r>
    </w:p>
    <w:p>
      <w:pPr>
        <w:pStyle w:val="TextBody"/>
        <w:bidi w:val="0"/>
        <w:spacing w:before="200" w:after="200"/>
        <w:ind w:left="2880" w:right="0" w:hanging="0"/>
        <w:jc w:val="both"/>
        <w:rPr/>
      </w:pPr>
      <w:r>
        <w:rPr/>
        <w:t>(F) any securities that are Beneficially Owned within the meaning of Subsections 1.1(f)(i)(A), 1.1(f)(i)(B), 1.1(f)(i)(C), 1.1(f)(i)(D), or 1.1(f)(i)(E) by any other Person with whom such Person is acting jointly or in concert.</w:t>
      </w:r>
    </w:p>
    <w:p>
      <w:pPr>
        <w:pStyle w:val="TextBody"/>
        <w:bidi w:val="0"/>
        <w:spacing w:before="200" w:after="200"/>
        <w:ind w:left="2160" w:right="0" w:hanging="0"/>
        <w:jc w:val="both"/>
        <w:rPr/>
      </w:pPr>
      <w:r>
        <w:rPr/>
        <w:t>(ii) Notwithstanding the provisions of Subsection 1.1(f)(i) a Person shall not be deemed the "</w:t>
      </w:r>
      <w:r>
        <w:rPr>
          <w:b/>
        </w:rPr>
        <w:t>Beneficial Owner</w:t>
      </w:r>
      <w:r>
        <w:rPr/>
        <w:t>" of, or to have "</w:t>
      </w:r>
      <w:r>
        <w:rPr>
          <w:b/>
        </w:rPr>
        <w:t>Beneficial Ownership</w:t>
      </w:r>
      <w:r>
        <w:rPr/>
        <w:t>" of, or to "</w:t>
      </w:r>
      <w:r>
        <w:rPr>
          <w:b/>
        </w:rPr>
        <w:t>Beneficially Own</w:t>
      </w:r>
      <w:r>
        <w:rPr/>
        <w:t>", any security solely by reason of any one or more of the following circumstances:</w:t>
      </w:r>
    </w:p>
    <w:p>
      <w:pPr>
        <w:pStyle w:val="TextBody"/>
        <w:bidi w:val="0"/>
        <w:spacing w:before="200" w:after="200"/>
        <w:ind w:left="2880" w:right="0" w:hanging="0"/>
        <w:jc w:val="both"/>
        <w:rPr/>
      </w:pPr>
      <w:r>
        <w:rPr/>
        <w:t>(A) (1)   the holder of such security having agreed to deposit or tender such security to a Take-over Bid made by such Person or any of such Person's Affiliates or Associates or any other Person with which such Person is acting jointly or in concert pursuant to a Permitted Lock-Up Agreement; or</w:t>
      </w:r>
    </w:p>
    <w:p>
      <w:pPr>
        <w:pStyle w:val="TextBody"/>
        <w:bidi w:val="0"/>
        <w:spacing w:before="200" w:after="200"/>
        <w:ind w:left="3600" w:right="0" w:hanging="0"/>
        <w:jc w:val="both"/>
        <w:rPr/>
      </w:pPr>
      <w:r>
        <w:rPr/>
        <w:t>(2)   such security having been deposited or tendered pursuant to a Take-over Bid made by such Person or any of such Person's Affiliates or Associates or made by any other Person acting jointly or in concert with such Person until such deposited or tendered security has been taken up or paid for, whichever shall first occur;</w:t>
      </w:r>
    </w:p>
    <w:p>
      <w:pPr>
        <w:pStyle w:val="TextBody"/>
        <w:bidi w:val="0"/>
        <w:spacing w:before="200" w:after="200"/>
        <w:ind w:left="2880" w:right="0" w:hanging="0"/>
        <w:jc w:val="both"/>
        <w:rPr/>
      </w:pPr>
      <w:r>
        <w:rPr/>
        <w:t>(B) such Person, any Affiliate or Associate of such Person or any other Person acting jointly or in concert with such Person holding such security; provided that:</w:t>
      </w:r>
    </w:p>
    <w:p>
      <w:pPr>
        <w:pStyle w:val="TextBody"/>
        <w:bidi w:val="0"/>
        <w:spacing w:before="200" w:after="200"/>
        <w:ind w:left="3600" w:right="0" w:hanging="0"/>
        <w:jc w:val="both"/>
        <w:rPr/>
      </w:pPr>
      <w:r>
        <w:rPr/>
        <w:t>(1) the ordinary business of such Person (the "</w:t>
      </w:r>
      <w:r>
        <w:rPr>
          <w:b/>
        </w:rPr>
        <w:t>Portfolio Manager</w:t>
      </w:r>
      <w:r>
        <w:rPr/>
        <w:t>") includes the management or administration of investment funds for other Persons (which, for greater certainty, may include or be limited to one or more employee benefit plans or pension plans) and such security is held by the Portfolio Manager in the ordinary course of such business in the performance of the Portfolio Manager's duties for the account of any other Person (a "</w:t>
      </w:r>
      <w:r>
        <w:rPr>
          <w:b/>
        </w:rPr>
        <w:t>Client</w:t>
      </w:r>
      <w:r>
        <w:rPr/>
        <w:t>"), including non-discretionary accounts held on behalf of a Client by a registered broker or dealer;</w:t>
      </w:r>
    </w:p>
    <w:p>
      <w:pPr>
        <w:pStyle w:val="TextBody"/>
        <w:bidi w:val="0"/>
        <w:spacing w:before="200" w:after="200"/>
        <w:ind w:left="3600" w:right="0" w:hanging="0"/>
        <w:jc w:val="both"/>
        <w:rPr/>
      </w:pPr>
      <w:r>
        <w:rPr/>
        <w:t>(2) the ordinary business of such Person (the "</w:t>
      </w:r>
      <w:r>
        <w:rPr>
          <w:b/>
        </w:rPr>
        <w:t>Fund Manager</w:t>
      </w:r>
      <w:r>
        <w:rPr/>
        <w:t>") is manager or trustee of one or more mutual funds registered or qualified to issue its securities under the laws of Canada or the United States of America or any province or state thereof (each, a "</w:t>
      </w:r>
      <w:r>
        <w:rPr>
          <w:b/>
        </w:rPr>
        <w:t>Mutual Fund</w:t>
      </w:r>
      <w:r>
        <w:rPr/>
        <w:t>"), or such Person is a Mutual Fund, and holds such security for the purposes of its activity as such Fund Manager or Mutual Fund;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3600" w:right="0" w:hanging="0"/>
        <w:jc w:val="both"/>
        <w:rPr/>
      </w:pPr>
      <w:bookmarkStart w:id="24" w:name="page_91"/>
      <w:bookmarkEnd w:id="24"/>
      <w:r>
        <w:rPr/>
        <w:t>(3) such Person (the "</w:t>
      </w:r>
      <w:r>
        <w:rPr>
          <w:b/>
        </w:rPr>
        <w:t>Trust Company</w:t>
      </w:r>
      <w:r>
        <w:rPr/>
        <w:t>") is licensed to carry on the business of a trust company under applicable laws and, as such, acts as trustee or administrator or in a similar capacity in relation to the estates of deceased or incompetent Persons (each, an "</w:t>
      </w:r>
      <w:r>
        <w:rPr>
          <w:b/>
        </w:rPr>
        <w:t>Estate Account</w:t>
      </w:r>
      <w:r>
        <w:rPr/>
        <w:t>") or in relation to other accounts (each, an "</w:t>
      </w:r>
      <w:r>
        <w:rPr>
          <w:b/>
        </w:rPr>
        <w:t>Other Account</w:t>
      </w:r>
      <w:r>
        <w:rPr/>
        <w:t>") and holds such security in the ordinary course of such duties for such Estate Accounts or for such Other Accounts;</w:t>
      </w:r>
    </w:p>
    <w:p>
      <w:pPr>
        <w:pStyle w:val="TextBody"/>
        <w:bidi w:val="0"/>
        <w:spacing w:before="200" w:after="200"/>
        <w:ind w:left="3600" w:right="0" w:hanging="0"/>
        <w:jc w:val="both"/>
        <w:rPr/>
      </w:pPr>
      <w:r>
        <w:rPr/>
        <w:t>(4) such Person (the "</w:t>
      </w:r>
      <w:r>
        <w:rPr>
          <w:b/>
        </w:rPr>
        <w:t>Crown Agent</w:t>
      </w:r>
      <w:r>
        <w:rPr/>
        <w:t>") is established by statute for purposes that include, and the ordinary business or activity of such Person includes, the management of investment funds for employee benefit plans, pension plans and insurance plans of various public bodies; or</w:t>
      </w:r>
    </w:p>
    <w:p>
      <w:pPr>
        <w:pStyle w:val="TextBody"/>
        <w:bidi w:val="0"/>
        <w:spacing w:before="200" w:after="200"/>
        <w:ind w:left="3600" w:right="0" w:hanging="0"/>
        <w:jc w:val="both"/>
        <w:rPr/>
      </w:pPr>
      <w:r>
        <w:rPr/>
        <w:t>(5) such Person (the "</w:t>
      </w:r>
      <w:r>
        <w:rPr>
          <w:b/>
        </w:rPr>
        <w:t>Plan Administrator</w:t>
      </w:r>
      <w:r>
        <w:rPr/>
        <w:t>") is the administrator or the trustee of one or more pension funds or plans registered under the laws of Canada, the United States of America, the European Union or any province, state or other political subdivision thereof (each, a "</w:t>
      </w:r>
      <w:r>
        <w:rPr>
          <w:b/>
        </w:rPr>
        <w:t>Plan</w:t>
      </w:r>
      <w:r>
        <w:rPr/>
        <w:t>"), or is a Plan, and holds such security for the purposes of its activity as such Plan Administrator or Plan;</w:t>
      </w:r>
    </w:p>
    <w:p>
      <w:pPr>
        <w:pStyle w:val="TextBody"/>
        <w:bidi w:val="0"/>
        <w:spacing w:before="200" w:after="200"/>
        <w:ind w:left="3240" w:right="0" w:hanging="0"/>
        <w:jc w:val="both"/>
        <w:rPr/>
      </w:pPr>
      <w:r>
        <w:rPr/>
        <w:t>provided, however, that in any of the foregoing cases, the Portfolio Manager, the Fund Manager, the Mutual Fund, the Trust Company, the Crown Agent, the Plan Administrator or the Plan, as the case may be, is not then making or has not then announced an intention to make, a Take-over Bid, other than an Offer to Acquire Voting Shares or other securities pursuant to a distribution by the Corporation, a Permitted Bid or by means of ordinary market transactions (including pre-arranged trades entered into in the ordinary course of business of such Person) executed through the facilities of an Exchange, alone or by acting jointly or in concert with any other Person;</w:t>
      </w:r>
    </w:p>
    <w:p>
      <w:pPr>
        <w:pStyle w:val="TextBody"/>
        <w:bidi w:val="0"/>
        <w:spacing w:before="200" w:after="200"/>
        <w:ind w:left="2880" w:right="0" w:hanging="0"/>
        <w:jc w:val="both"/>
        <w:rPr/>
      </w:pPr>
      <w:r>
        <w:rPr/>
        <w:t>(C) such Person is a Client of the same Portfolio Manager as another Person on whose account the Portfolio Manager holds such security, or because such Person is an Estate Account or an Other Account of the same Trust Company as another Person on whose account the Trust Company holds such security or because such Person is a Plan with the same Plan Administrator as another Plan on whose account the Plan Administrator holds such security;</w:t>
      </w:r>
    </w:p>
    <w:p>
      <w:pPr>
        <w:pStyle w:val="TextBody"/>
        <w:bidi w:val="0"/>
        <w:spacing w:before="200" w:after="200"/>
        <w:ind w:left="2880" w:right="0" w:hanging="0"/>
        <w:jc w:val="both"/>
        <w:rPr/>
      </w:pPr>
      <w:r>
        <w:rPr/>
        <w:t>(D) such Person is a Client of a Portfolio Manager and such security is owned at law or in equity by the Portfolio Manager or because such Person is an Estate Account or an Other Account of a Trust Company and such security is owned at law or in equity by the Trust Company or such Person is a Plan and such security is owned at law or in equity by the Plan Administrator of such Plan;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880" w:right="0" w:hanging="0"/>
        <w:jc w:val="both"/>
        <w:rPr/>
      </w:pPr>
      <w:bookmarkStart w:id="25" w:name="page_10"/>
      <w:bookmarkEnd w:id="25"/>
      <w:r>
        <w:rPr/>
        <w:t>(E) such Person is the registered holder of securities as a result of carrying on the business, or acting as a nominee, of a securities depositary.</w:t>
      </w:r>
    </w:p>
    <w:p>
      <w:pPr>
        <w:pStyle w:val="TextBody"/>
        <w:bidi w:val="0"/>
        <w:spacing w:before="200" w:after="200"/>
        <w:ind w:left="1440" w:right="0" w:hanging="0"/>
        <w:jc w:val="both"/>
        <w:rPr/>
      </w:pPr>
      <w:r>
        <w:rPr/>
        <w:t>(g) "</w:t>
      </w:r>
      <w:r>
        <w:rPr>
          <w:b/>
        </w:rPr>
        <w:t>BCA</w:t>
      </w:r>
      <w:r>
        <w:rPr/>
        <w:t xml:space="preserve">" means the </w:t>
      </w:r>
      <w:r>
        <w:rPr>
          <w:i/>
        </w:rPr>
        <w:t xml:space="preserve">Business Corporations Act </w:t>
      </w:r>
      <w:r>
        <w:rPr/>
        <w:t>(Ontario), and the regulations made thereunder, each as may be amended and in force from time to time, and any comparable successor laws or regulations thereto.</w:t>
      </w:r>
    </w:p>
    <w:p>
      <w:pPr>
        <w:pStyle w:val="TextBody"/>
        <w:bidi w:val="0"/>
        <w:spacing w:before="200" w:after="200"/>
        <w:ind w:left="1440" w:right="0" w:hanging="0"/>
        <w:jc w:val="both"/>
        <w:rPr/>
      </w:pPr>
      <w:r>
        <w:rPr/>
        <w:t>(h) "</w:t>
      </w:r>
      <w:r>
        <w:rPr>
          <w:b/>
        </w:rPr>
        <w:t>Board of Directors</w:t>
      </w:r>
      <w:r>
        <w:rPr/>
        <w:t>" means the board of directors of the Corporation or any duly constituted and empowered committee thereof.</w:t>
      </w:r>
    </w:p>
    <w:p>
      <w:pPr>
        <w:pStyle w:val="TextBody"/>
        <w:bidi w:val="0"/>
        <w:spacing w:before="200" w:after="200"/>
        <w:ind w:left="1440" w:right="0" w:hanging="0"/>
        <w:jc w:val="both"/>
        <w:rPr/>
      </w:pPr>
      <w:r>
        <w:rPr/>
        <w:t>(i) "</w:t>
      </w:r>
      <w:r>
        <w:rPr>
          <w:b/>
        </w:rPr>
        <w:t>Book Entry Form</w:t>
      </w:r>
      <w:r>
        <w:rPr/>
        <w:t>" means, in reference to securities, securities that have been issued and registered in uncertificated form and includes securities evidenced by an advice or other statement and securities which are maintained electronically on the records of the Corporation's transfer agent but for which no certificate has been issued.</w:t>
      </w:r>
    </w:p>
    <w:p>
      <w:pPr>
        <w:pStyle w:val="TextBody"/>
        <w:bidi w:val="0"/>
        <w:spacing w:before="200" w:after="200"/>
        <w:ind w:left="1440" w:right="0" w:hanging="0"/>
        <w:jc w:val="both"/>
        <w:rPr/>
      </w:pPr>
      <w:r>
        <w:rPr/>
        <w:t>(j) "</w:t>
      </w:r>
      <w:r>
        <w:rPr>
          <w:b/>
        </w:rPr>
        <w:t>Book Entry Rights Exercise Procedures</w:t>
      </w:r>
      <w:r>
        <w:rPr/>
        <w:t>" has the meaning ascribed thereto in Subsection 2.2(c).</w:t>
      </w:r>
    </w:p>
    <w:p>
      <w:pPr>
        <w:pStyle w:val="TextBody"/>
        <w:bidi w:val="0"/>
        <w:spacing w:before="200" w:after="200"/>
        <w:ind w:left="1440" w:right="0" w:hanging="0"/>
        <w:jc w:val="both"/>
        <w:rPr/>
      </w:pPr>
      <w:r>
        <w:rPr/>
        <w:t>(k) "</w:t>
      </w:r>
      <w:r>
        <w:rPr>
          <w:b/>
        </w:rPr>
        <w:t>Business Day</w:t>
      </w:r>
      <w:r>
        <w:rPr/>
        <w:t>" means any day, other than a Saturday or Sunday or a day on which banking institutions in Toronto, Ontario or New York, New York are authorized or obligated by law to close.</w:t>
      </w:r>
    </w:p>
    <w:p>
      <w:pPr>
        <w:pStyle w:val="TextBody"/>
        <w:bidi w:val="0"/>
        <w:spacing w:before="200" w:after="200"/>
        <w:ind w:left="1440" w:right="0" w:hanging="0"/>
        <w:jc w:val="both"/>
        <w:rPr/>
      </w:pPr>
      <w:r>
        <w:rPr/>
        <w:t>(l) "</w:t>
      </w:r>
      <w:r>
        <w:rPr>
          <w:b/>
        </w:rPr>
        <w:t>Canadian Dollar Equivalent</w:t>
      </w:r>
      <w:r>
        <w:rPr/>
        <w:t>" of any amount which is expressed in United States dollars means on any date the Canadian dollar equivalent of such amount determined by reference to the U.S.-Canadian Exchange Rate in effect on such date.</w:t>
      </w:r>
    </w:p>
    <w:p>
      <w:pPr>
        <w:pStyle w:val="TextBody"/>
        <w:bidi w:val="0"/>
        <w:spacing w:before="200" w:after="200"/>
        <w:ind w:left="1440" w:right="0" w:hanging="0"/>
        <w:jc w:val="both"/>
        <w:rPr/>
      </w:pPr>
      <w:r>
        <w:rPr/>
        <w:t>(m) "</w:t>
      </w:r>
      <w:r>
        <w:rPr>
          <w:b/>
        </w:rPr>
        <w:t>Close of Business</w:t>
      </w:r>
      <w:r>
        <w:rPr/>
        <w:t>" on any given date means the time on such date (or, if such date is not a Business Day, the time on the next succeeding Business Day) at which the principal office of the transfer agent for the Common Shares in Toronto, Ontario (or after the Separation Time, the principal office of the Rights Agent in Toronto, Ontario) is closed to the public; provided, however, that for the purposes of the definitions of "Competing Permitted Bid" and "Permitted Bid", "Close of Business" on any date means 11:59 p.m. (local time at the place of deposit) on such date (or, if such date is not a Business Day, 11:59 p.m. (local time at the place of deposit) on the next succeeding Business Day).</w:t>
      </w:r>
    </w:p>
    <w:p>
      <w:pPr>
        <w:pStyle w:val="TextBody"/>
        <w:bidi w:val="0"/>
        <w:spacing w:before="200" w:after="200"/>
        <w:ind w:left="1440" w:right="0" w:hanging="0"/>
        <w:jc w:val="both"/>
        <w:rPr/>
      </w:pPr>
      <w:r>
        <w:rPr/>
        <w:t>(n) "</w:t>
      </w:r>
      <w:r>
        <w:rPr>
          <w:b/>
        </w:rPr>
        <w:t>Closing Price</w:t>
      </w:r>
      <w:r>
        <w:rPr/>
        <w:t>" per security of any securities on any date of determination means:</w:t>
      </w:r>
    </w:p>
    <w:p>
      <w:pPr>
        <w:pStyle w:val="TextBody"/>
        <w:bidi w:val="0"/>
        <w:spacing w:before="200" w:after="200"/>
        <w:ind w:left="2160" w:right="0" w:hanging="0"/>
        <w:jc w:val="both"/>
        <w:rPr/>
      </w:pPr>
      <w:r>
        <w:rPr/>
        <w:t>(i) the closing board lot sale price or, if such price is not available, the average of the closing bid and asked prices, for each of such securities as reported by the principal stock exchange or national securities quotation system on which such securities are listed or admitted to trading (provided that, if at the date of determination such securities are listed or admitted to trading on more than one stock exchange or national securities quotation system, then such price or prices shall be determined based upon the stock exchange or quotation system on which such securities are then listed or admitted to trading on which the largest number of such securities were traded during the most recently completed calendar year);</w:t>
      </w:r>
    </w:p>
    <w:p>
      <w:pPr>
        <w:pStyle w:val="TextBody"/>
        <w:bidi w:val="0"/>
        <w:spacing w:before="200" w:after="200"/>
        <w:ind w:left="2160" w:right="0" w:hanging="0"/>
        <w:jc w:val="both"/>
        <w:rPr/>
      </w:pPr>
      <w:r>
        <w:rPr/>
        <w:t>(ii) if for any reason none of such prices is available on such day or the securities are not listed or admitted to trading on a stock exchange or a national securities quotation system, then the last sale price, or in case no sale takes place on such date, the average of the high bid and low asked prices for each of such securities in the over-the-counter market, as quoted by any reporting system then in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26" w:name="page_111"/>
      <w:bookmarkEnd w:id="26"/>
      <w:r>
        <w:rPr/>
        <w:t>(iii) if for any reason none of such prices is available on such day or the securities are not listed or admitted to trading on a stock exchange or a national securities quotation system or quoted by any such reporting system, then the average of the closing bid and asked prices as furnished by a professional market maker making a market in the securities selected in good faith by the Board of Directors; or</w:t>
      </w:r>
    </w:p>
    <w:p>
      <w:pPr>
        <w:pStyle w:val="TextBody"/>
        <w:bidi w:val="0"/>
        <w:spacing w:before="200" w:after="200"/>
        <w:ind w:left="2160" w:right="0" w:hanging="0"/>
        <w:jc w:val="both"/>
        <w:rPr/>
      </w:pPr>
      <w:r>
        <w:rPr/>
        <w:t>(iv) if for any reason none of such prices are available on such date, then the "</w:t>
      </w:r>
      <w:r>
        <w:rPr>
          <w:b/>
        </w:rPr>
        <w:t>Closing Price</w:t>
      </w:r>
      <w:r>
        <w:rPr/>
        <w:t>" per security of such securities on such date shall mean the fair value per security of the securities on such date as determined by a nationally or internationally recognized investment dealer or investment banker with respect to the fair value per security of such securities and, if the Closing Price so determined is expressed in United States dollars, then such amount shall be converted to the Canadian Dollar Equivalent.</w:t>
      </w:r>
    </w:p>
    <w:p>
      <w:pPr>
        <w:pStyle w:val="TextBody"/>
        <w:bidi w:val="0"/>
        <w:spacing w:before="200" w:after="200"/>
        <w:ind w:left="1440" w:right="0" w:hanging="0"/>
        <w:jc w:val="both"/>
        <w:rPr/>
      </w:pPr>
      <w:r>
        <w:rPr/>
        <w:t>(o) "</w:t>
      </w:r>
      <w:r>
        <w:rPr>
          <w:b/>
        </w:rPr>
        <w:t>Common Shares</w:t>
      </w:r>
      <w:r>
        <w:rPr/>
        <w:t>" means the common shares in the share capital of the Corporation as presently constituted, as such shares may be subdivided, consolidated, reclassified or otherwise changed from time to time.</w:t>
      </w:r>
    </w:p>
    <w:p>
      <w:pPr>
        <w:pStyle w:val="TextBody"/>
        <w:bidi w:val="0"/>
        <w:spacing w:before="200" w:after="200"/>
        <w:ind w:left="1440" w:right="0" w:hanging="0"/>
        <w:jc w:val="both"/>
        <w:rPr/>
      </w:pPr>
      <w:r>
        <w:rPr/>
        <w:t>(p) "</w:t>
      </w:r>
      <w:r>
        <w:rPr>
          <w:b/>
        </w:rPr>
        <w:t>Competing Permitted Bid</w:t>
      </w:r>
      <w:r>
        <w:rPr/>
        <w:t>" means a Take-over Bid that:</w:t>
      </w:r>
    </w:p>
    <w:p>
      <w:pPr>
        <w:pStyle w:val="TextBody"/>
        <w:bidi w:val="0"/>
        <w:spacing w:before="200" w:after="200"/>
        <w:ind w:left="2160" w:right="0" w:hanging="0"/>
        <w:jc w:val="both"/>
        <w:rPr/>
      </w:pPr>
      <w:r>
        <w:rPr/>
        <w:t>(i) is made after a Permitted Bid or another Competing Permitted Bid has been made and prior to the expiry, termination or withdrawal of such Permitted Bid or Competing Permitted Bid;</w:t>
      </w:r>
    </w:p>
    <w:p>
      <w:pPr>
        <w:pStyle w:val="TextBody"/>
        <w:bidi w:val="0"/>
        <w:spacing w:before="200" w:after="200"/>
        <w:ind w:left="2160" w:right="0" w:hanging="0"/>
        <w:jc w:val="both"/>
        <w:rPr/>
      </w:pPr>
      <w:r>
        <w:rPr/>
        <w:t>(ii) satisfies all components of the definition of a Permitted Bid other than the requirement set forth in Subsection 1.1(qq)(ii)(A) of the definition of a Permitted Bid; and</w:t>
      </w:r>
    </w:p>
    <w:p>
      <w:pPr>
        <w:pStyle w:val="TextBody"/>
        <w:bidi w:val="0"/>
        <w:spacing w:before="200" w:after="200"/>
        <w:ind w:left="2160" w:right="0" w:hanging="0"/>
        <w:jc w:val="both"/>
        <w:rPr/>
      </w:pPr>
      <w:r>
        <w:rPr/>
        <w:t>(iii) contains, and the take-up and payment for securities tendered or deposited thereunder is subject to, an irrevocable and unqualified condition that no Voting Shares and/or Convertible Securities will be taken up or paid for pursuant to such Take-over Bid prior to the Close of Business on the last day of the minimum initial deposit period that such Take-over Bid must remain open for deposits of securities thereunder pursuant to NI 62-104 after the date of the Take-over Bid constituting the Competing Permitted Bid;</w:t>
      </w:r>
    </w:p>
    <w:p>
      <w:pPr>
        <w:pStyle w:val="TextBody"/>
        <w:bidi w:val="0"/>
        <w:spacing w:before="200" w:after="200"/>
        <w:ind w:left="1440" w:right="0" w:hanging="0"/>
        <w:jc w:val="both"/>
        <w:rPr/>
      </w:pPr>
      <w:r>
        <w:rPr/>
        <w:t>provided, however, that a Take-over Bid that qualified as a Competing Permitted Bid shall cease to be a Competing Permitted Bid at any time and as soon as such time as when such Take-over Bid ceases to meet any or all of the provisions of this definition.</w:t>
      </w:r>
    </w:p>
    <w:p>
      <w:pPr>
        <w:pStyle w:val="TextBody"/>
        <w:bidi w:val="0"/>
        <w:spacing w:before="200" w:after="200"/>
        <w:ind w:left="1440" w:right="0" w:hanging="0"/>
        <w:jc w:val="both"/>
        <w:rPr/>
      </w:pPr>
      <w:r>
        <w:rPr/>
        <w:t>(q) "</w:t>
      </w:r>
      <w:r>
        <w:rPr>
          <w:b/>
        </w:rPr>
        <w:t>controlled</w:t>
      </w:r>
      <w:r>
        <w:rPr/>
        <w:t>" means as follows:</w:t>
      </w:r>
    </w:p>
    <w:p>
      <w:pPr>
        <w:pStyle w:val="TextBody"/>
        <w:bidi w:val="0"/>
        <w:spacing w:before="200" w:after="200"/>
        <w:ind w:left="2160" w:right="0" w:hanging="0"/>
        <w:jc w:val="both"/>
        <w:rPr/>
      </w:pPr>
      <w:r>
        <w:rPr/>
        <w:t>(i) a body corporate is "controlled" by another Person or two or more other Persons acting jointly or in concert if:</w:t>
      </w:r>
    </w:p>
    <w:p>
      <w:pPr>
        <w:pStyle w:val="TextBody"/>
        <w:bidi w:val="0"/>
        <w:spacing w:before="200" w:after="200"/>
        <w:ind w:left="2880" w:right="0" w:hanging="0"/>
        <w:jc w:val="both"/>
        <w:rPr/>
      </w:pPr>
      <w:r>
        <w:rPr/>
        <w:t>(A) securities entitled to vote in the election of directors of such body corporate carrying more than 50% of the votes for the election of directors are held, directly or indirectly, by or for the benefit of the other Person or Persons;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880" w:right="0" w:hanging="0"/>
        <w:jc w:val="both"/>
        <w:rPr/>
      </w:pPr>
      <w:bookmarkStart w:id="27" w:name="page_12"/>
      <w:bookmarkEnd w:id="27"/>
      <w:r>
        <w:rPr/>
        <w:t>(B) the votes carried by such securities are entitled, if exercised, to elect a majority of the board of directors of such body corporate; and</w:t>
      </w:r>
    </w:p>
    <w:p>
      <w:pPr>
        <w:pStyle w:val="TextBody"/>
        <w:bidi w:val="0"/>
        <w:spacing w:before="200" w:after="200"/>
        <w:ind w:left="2160" w:right="0" w:hanging="0"/>
        <w:jc w:val="both"/>
        <w:rPr/>
      </w:pPr>
      <w:r>
        <w:rPr/>
        <w:t>(ii) a Person which is not a body corporate is "controlled" by another Person or two or more other Persons acting jointly or in concert if more than 50% of the voting or equity interests of such Person are held, directly or indirectly, by or for the benefit of the other Person or Persons;</w:t>
      </w:r>
    </w:p>
    <w:p>
      <w:pPr>
        <w:pStyle w:val="TextBody"/>
        <w:bidi w:val="0"/>
        <w:spacing w:before="200" w:after="200"/>
        <w:ind w:left="1440" w:right="0" w:hanging="0"/>
        <w:jc w:val="both"/>
        <w:rPr/>
      </w:pPr>
      <w:r>
        <w:rPr/>
        <w:t>and "</w:t>
      </w:r>
      <w:r>
        <w:rPr>
          <w:b/>
        </w:rPr>
        <w:t>controls</w:t>
      </w:r>
      <w:r>
        <w:rPr/>
        <w:t>", "</w:t>
      </w:r>
      <w:r>
        <w:rPr>
          <w:b/>
        </w:rPr>
        <w:t>controlling</w:t>
      </w:r>
      <w:r>
        <w:rPr/>
        <w:t>" and "</w:t>
      </w:r>
      <w:r>
        <w:rPr>
          <w:b/>
        </w:rPr>
        <w:t>under common control</w:t>
      </w:r>
      <w:r>
        <w:rPr/>
        <w:t>" shall be interpreted accordingly.</w:t>
      </w:r>
    </w:p>
    <w:p>
      <w:pPr>
        <w:pStyle w:val="TextBody"/>
        <w:bidi w:val="0"/>
        <w:spacing w:before="200" w:after="200"/>
        <w:ind w:left="1440" w:right="0" w:hanging="0"/>
        <w:jc w:val="both"/>
        <w:rPr/>
      </w:pPr>
      <w:r>
        <w:rPr/>
        <w:t>(r) "</w:t>
      </w:r>
      <w:r>
        <w:rPr>
          <w:b/>
        </w:rPr>
        <w:t>Convertible Security</w:t>
      </w:r>
      <w:r>
        <w:rPr/>
        <w:t>" means a security issued by the Corporation from time to time (other than the Rights) carrying any purchase, exercise, conversion or exchange right pursuant to which the holder thereof may acquire Voting Shares or other securities carrying any purchase, exercise, conversion or exchange right pursuant to which the holder thereof may acquire Voting Shares, directly or indirectly, (in each case, whether such right is exercisable immediately or within or after a specified period and whether or not on condition or the happening of any contingency).</w:t>
      </w:r>
    </w:p>
    <w:p>
      <w:pPr>
        <w:pStyle w:val="TextBody"/>
        <w:bidi w:val="0"/>
        <w:spacing w:before="200" w:after="200"/>
        <w:ind w:left="1440" w:right="0" w:hanging="0"/>
        <w:jc w:val="both"/>
        <w:rPr/>
      </w:pPr>
      <w:r>
        <w:rPr/>
        <w:t>(s) "</w:t>
      </w:r>
      <w:r>
        <w:rPr>
          <w:b/>
        </w:rPr>
        <w:t>Convertible Security Acquisition</w:t>
      </w:r>
      <w:r>
        <w:rPr/>
        <w:t>" means the acquisition of Voting Shares by a Person upon the purchase, exercise, conversion or exchange of Convertible Securities acquired or received by such Person pursuant to a Permitted Bid Acquisition, an Exempt Acquisition or a Pro Rata Acquisition.</w:t>
      </w:r>
    </w:p>
    <w:p>
      <w:pPr>
        <w:pStyle w:val="TextBody"/>
        <w:bidi w:val="0"/>
        <w:spacing w:before="200" w:after="200"/>
        <w:ind w:left="1440" w:right="0" w:hanging="0"/>
        <w:jc w:val="both"/>
        <w:rPr/>
      </w:pPr>
      <w:r>
        <w:rPr/>
        <w:t>(t) "</w:t>
      </w:r>
      <w:r>
        <w:rPr>
          <w:b/>
        </w:rPr>
        <w:t>Co-Rights Agent</w:t>
      </w:r>
      <w:r>
        <w:rPr/>
        <w:t>" has the meaning ascribed thereto in Subsection 4.1(a).</w:t>
      </w:r>
    </w:p>
    <w:p>
      <w:pPr>
        <w:pStyle w:val="TextBody"/>
        <w:bidi w:val="0"/>
        <w:spacing w:before="200" w:after="200"/>
        <w:ind w:left="1440" w:right="0" w:hanging="0"/>
        <w:jc w:val="both"/>
        <w:rPr/>
      </w:pPr>
      <w:r>
        <w:rPr/>
        <w:t>(u) "</w:t>
      </w:r>
      <w:r>
        <w:rPr>
          <w:b/>
        </w:rPr>
        <w:t>Disposition Date</w:t>
      </w:r>
      <w:r>
        <w:rPr/>
        <w:t>" has the meaning ascribed thereto in Subsection 5.1(b).</w:t>
      </w:r>
    </w:p>
    <w:p>
      <w:pPr>
        <w:pStyle w:val="TextBody"/>
        <w:bidi w:val="0"/>
        <w:spacing w:before="200" w:after="200"/>
        <w:ind w:left="1440" w:right="0" w:hanging="0"/>
        <w:jc w:val="both"/>
        <w:rPr/>
      </w:pPr>
      <w:r>
        <w:rPr/>
        <w:t>(v) "</w:t>
      </w:r>
      <w:r>
        <w:rPr>
          <w:b/>
        </w:rPr>
        <w:t>Dividend Reinvestment Acquisition</w:t>
      </w:r>
      <w:r>
        <w:rPr/>
        <w:t>" means an acquisition of Voting Shares and/or Convertible Securities of any class or series pursuant to a Dividend Reinvestment Plan.</w:t>
      </w:r>
    </w:p>
    <w:p>
      <w:pPr>
        <w:pStyle w:val="TextBody"/>
        <w:bidi w:val="0"/>
        <w:spacing w:before="200" w:after="200"/>
        <w:ind w:left="1440" w:right="0" w:hanging="0"/>
        <w:jc w:val="both"/>
        <w:rPr/>
      </w:pPr>
      <w:r>
        <w:rPr/>
        <w:t>(w) "</w:t>
      </w:r>
      <w:r>
        <w:rPr>
          <w:b/>
        </w:rPr>
        <w:t>Dividend Reinvestment Plan</w:t>
      </w:r>
      <w:r>
        <w:rPr/>
        <w:t>" means a regular dividend reinvestment or other plan of the Corporation made available by the Corporation to holders of its securities where such plan permits the holder to direct that some or all of:</w:t>
      </w:r>
    </w:p>
    <w:p>
      <w:pPr>
        <w:pStyle w:val="TextBody"/>
        <w:bidi w:val="0"/>
        <w:spacing w:before="200" w:after="200"/>
        <w:ind w:left="2160" w:right="0" w:hanging="0"/>
        <w:jc w:val="both"/>
        <w:rPr/>
      </w:pPr>
      <w:r>
        <w:rPr/>
        <w:t>(i) dividends paid in respect of shares of any class of the Corporation;</w:t>
      </w:r>
    </w:p>
    <w:p>
      <w:pPr>
        <w:pStyle w:val="TextBody"/>
        <w:bidi w:val="0"/>
        <w:spacing w:before="200" w:after="200"/>
        <w:ind w:left="2160" w:right="0" w:hanging="0"/>
        <w:jc w:val="both"/>
        <w:rPr/>
      </w:pPr>
      <w:r>
        <w:rPr/>
        <w:t>(ii) proceeds of redemption of shares of the Corporation;</w:t>
      </w:r>
    </w:p>
    <w:p>
      <w:pPr>
        <w:pStyle w:val="TextBody"/>
        <w:bidi w:val="0"/>
        <w:spacing w:before="200" w:after="200"/>
        <w:ind w:left="2160" w:right="0" w:hanging="0"/>
        <w:jc w:val="both"/>
        <w:rPr/>
      </w:pPr>
      <w:r>
        <w:rPr/>
        <w:t>(iii) interest paid on evidences of indebtedness of the Corporation; or</w:t>
      </w:r>
    </w:p>
    <w:p>
      <w:pPr>
        <w:pStyle w:val="TextBody"/>
        <w:bidi w:val="0"/>
        <w:spacing w:before="200" w:after="200"/>
        <w:ind w:left="2160" w:right="0" w:hanging="0"/>
        <w:jc w:val="both"/>
        <w:rPr/>
      </w:pPr>
      <w:r>
        <w:rPr/>
        <w:t>(iv) optional cash payments;</w:t>
      </w:r>
    </w:p>
    <w:p>
      <w:pPr>
        <w:pStyle w:val="TextBody"/>
        <w:bidi w:val="0"/>
        <w:spacing w:before="200" w:after="200"/>
        <w:ind w:left="1440" w:right="0" w:hanging="0"/>
        <w:jc w:val="both"/>
        <w:rPr/>
      </w:pPr>
      <w:r>
        <w:rPr/>
        <w:t>be applied to the purchase from the Corporation of Voting Shares and/or Convertible Securities.</w:t>
      </w:r>
    </w:p>
    <w:p>
      <w:pPr>
        <w:pStyle w:val="TextBody"/>
        <w:bidi w:val="0"/>
        <w:spacing w:before="200" w:after="200"/>
        <w:ind w:left="1440" w:right="0" w:hanging="0"/>
        <w:jc w:val="both"/>
        <w:rPr/>
      </w:pPr>
      <w:r>
        <w:rPr/>
        <w:t>(x) "</w:t>
      </w:r>
      <w:r>
        <w:rPr>
          <w:b/>
        </w:rPr>
        <w:t>Effective Date</w:t>
      </w:r>
      <w:r>
        <w:rPr/>
        <w:t>" means August 10, 2026.</w:t>
      </w:r>
    </w:p>
    <w:p>
      <w:pPr>
        <w:pStyle w:val="TextBody"/>
        <w:bidi w:val="0"/>
        <w:spacing w:before="200" w:after="200"/>
        <w:ind w:left="1440" w:right="0" w:hanging="0"/>
        <w:jc w:val="both"/>
        <w:rPr/>
      </w:pPr>
      <w:r>
        <w:rPr/>
        <w:t>(y) "</w:t>
      </w:r>
      <w:r>
        <w:rPr>
          <w:b/>
        </w:rPr>
        <w:t>Election to Exercise</w:t>
      </w:r>
      <w:r>
        <w:rPr/>
        <w:t>" has the meaning ascribed thereto in Subsection 2.2(e)(ii).</w:t>
      </w:r>
    </w:p>
    <w:p>
      <w:pPr>
        <w:pStyle w:val="TextBody"/>
        <w:bidi w:val="0"/>
        <w:spacing w:before="200" w:after="200"/>
        <w:ind w:left="1440" w:right="0" w:hanging="0"/>
        <w:jc w:val="both"/>
        <w:rPr/>
      </w:pPr>
      <w:r>
        <w:rPr/>
        <w:t>(z) "</w:t>
      </w:r>
      <w:r>
        <w:rPr>
          <w:b/>
        </w:rPr>
        <w:t>Exchange</w:t>
      </w:r>
      <w:r>
        <w:rPr/>
        <w:t>" means the Nasdaq Capital Market and any other exchange on which the Common Shares may, from time to time, be listed for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28" w:name="page_13"/>
      <w:bookmarkEnd w:id="28"/>
      <w:r>
        <w:rPr/>
        <w:t>(aa) "</w:t>
      </w:r>
      <w:r>
        <w:rPr>
          <w:b/>
        </w:rPr>
        <w:t>Exchange Ratio</w:t>
      </w:r>
      <w:r>
        <w:rPr/>
        <w:t>" has the meaning ascribed thereto in Subsection 3.2(a).</w:t>
      </w:r>
    </w:p>
    <w:p>
      <w:pPr>
        <w:pStyle w:val="TextBody"/>
        <w:bidi w:val="0"/>
        <w:spacing w:before="200" w:after="200"/>
        <w:ind w:left="1440" w:right="0" w:hanging="0"/>
        <w:jc w:val="both"/>
        <w:rPr/>
      </w:pPr>
      <w:r>
        <w:rPr/>
        <w:t>(bb) "</w:t>
      </w:r>
      <w:r>
        <w:rPr>
          <w:b/>
        </w:rPr>
        <w:t>Exchange Determination</w:t>
      </w:r>
      <w:r>
        <w:rPr/>
        <w:t>" has the meaning ascribed thereto in Subsection 3.2(a).</w:t>
      </w:r>
    </w:p>
    <w:p>
      <w:pPr>
        <w:pStyle w:val="TextBody"/>
        <w:bidi w:val="0"/>
        <w:spacing w:before="200" w:after="200"/>
        <w:ind w:left="1440" w:right="0" w:hanging="0"/>
        <w:jc w:val="both"/>
        <w:rPr/>
      </w:pPr>
      <w:r>
        <w:rPr/>
        <w:t>(cc) "</w:t>
      </w:r>
      <w:r>
        <w:rPr>
          <w:b/>
        </w:rPr>
        <w:t>Exempt Acquisition</w:t>
      </w:r>
      <w:r>
        <w:rPr/>
        <w:t>" means an acquisition by a Person of Voting Shares and/or Convertible Securities:</w:t>
      </w:r>
    </w:p>
    <w:p>
      <w:pPr>
        <w:pStyle w:val="TextBody"/>
        <w:bidi w:val="0"/>
        <w:spacing w:before="200" w:after="200"/>
        <w:ind w:left="2160" w:right="0" w:hanging="0"/>
        <w:jc w:val="both"/>
        <w:rPr/>
      </w:pPr>
      <w:r>
        <w:rPr/>
        <w:t>(i) in respect of which the Board of Directors has waived the application of Section 3.1 pursuant to the provisions of Section 5.1;</w:t>
      </w:r>
    </w:p>
    <w:p>
      <w:pPr>
        <w:pStyle w:val="TextBody"/>
        <w:bidi w:val="0"/>
        <w:spacing w:before="200" w:after="200"/>
        <w:ind w:left="2160" w:right="0" w:hanging="0"/>
        <w:jc w:val="both"/>
        <w:rPr/>
      </w:pPr>
      <w:r>
        <w:rPr/>
        <w:t>(ii) made as an intermediate step in a series of related transactions in connection with an acquisition by the Corporation or its Subsidiaries of a Person or assets; provided that the Person who acquires such Voting Shares distributes or is deemed to distribute such Voting Shares to its securityholders within 10 Business Days of the completion of such acquisition, and following such distribution no Person has become the Beneficial Owner of 20% or more of the Corporation's then outstanding Voting Shares; or</w:t>
      </w:r>
    </w:p>
    <w:p>
      <w:pPr>
        <w:pStyle w:val="TextBody"/>
        <w:bidi w:val="0"/>
        <w:spacing w:before="200" w:after="200"/>
        <w:ind w:left="2160" w:right="0" w:hanging="0"/>
        <w:jc w:val="both"/>
        <w:rPr/>
      </w:pPr>
      <w:r>
        <w:rPr/>
        <w:t>(iii) pursuant to an amalgamation, merger, arrangement, business combination or other similar transaction (statutory or otherwise, but for greater certainty not including a Take-over Bid) which has been approved by the Board of Directors and that is conditional upon the approval of the shareholders of the Corporation to be obtained at a meeting duly called and held for such purpose in accordance with applicable legal requirements prior to such Person acquiring such securities.</w:t>
      </w:r>
    </w:p>
    <w:p>
      <w:pPr>
        <w:pStyle w:val="TextBody"/>
        <w:bidi w:val="0"/>
        <w:spacing w:before="200" w:after="200"/>
        <w:ind w:left="1440" w:right="0" w:hanging="0"/>
        <w:jc w:val="both"/>
        <w:rPr/>
      </w:pPr>
      <w:r>
        <w:rPr/>
        <w:t>(dd) "</w:t>
      </w:r>
      <w:r>
        <w:rPr>
          <w:b/>
        </w:rPr>
        <w:t>Exercise Price</w:t>
      </w:r>
      <w:r>
        <w:rPr/>
        <w:t>" means, as of any date, the price at which a holder of a Right may purchase the securities issuable upon exercise of one whole Right in accordance with the terms hereof. Subject to adjustment in accordance with the terms hereof, the Exercise Price shall be:</w:t>
      </w:r>
    </w:p>
    <w:p>
      <w:pPr>
        <w:pStyle w:val="TextBody"/>
        <w:bidi w:val="0"/>
        <w:spacing w:before="200" w:after="200"/>
        <w:ind w:left="2160" w:right="0" w:hanging="0"/>
        <w:jc w:val="both"/>
        <w:rPr/>
      </w:pPr>
      <w:r>
        <w:rPr/>
        <w:t>(i) until the Separation Time, an amount equal to three times the Market Price, from time to time, per Common Share; and</w:t>
      </w:r>
    </w:p>
    <w:p>
      <w:pPr>
        <w:pStyle w:val="TextBody"/>
        <w:bidi w:val="0"/>
        <w:spacing w:before="200" w:after="200"/>
        <w:ind w:left="2160" w:right="0" w:hanging="0"/>
        <w:jc w:val="both"/>
        <w:rPr/>
      </w:pPr>
      <w:r>
        <w:rPr/>
        <w:t>(ii) from and after the Separation Time, an amount equal to three times the Market Price, as at the Separation Time, per Common Share.</w:t>
      </w:r>
    </w:p>
    <w:p>
      <w:pPr>
        <w:pStyle w:val="TextBody"/>
        <w:bidi w:val="0"/>
        <w:spacing w:before="200" w:after="200"/>
        <w:ind w:left="1440" w:right="0" w:hanging="0"/>
        <w:jc w:val="both"/>
        <w:rPr/>
      </w:pPr>
      <w:r>
        <w:rPr/>
        <w:t>(ee) "</w:t>
      </w:r>
      <w:r>
        <w:rPr>
          <w:b/>
        </w:rPr>
        <w:t>Expansion Factor</w:t>
      </w:r>
      <w:r>
        <w:rPr/>
        <w:t>" has the meaning ascribed thereto in Subsection 2.3(b)(v)(A).</w:t>
      </w:r>
    </w:p>
    <w:p>
      <w:pPr>
        <w:pStyle w:val="TextBody"/>
        <w:bidi w:val="0"/>
        <w:spacing w:before="200" w:after="200"/>
        <w:ind w:left="1440" w:right="0" w:hanging="0"/>
        <w:jc w:val="both"/>
        <w:rPr/>
      </w:pPr>
      <w:r>
        <w:rPr/>
        <w:t>(ff) "</w:t>
      </w:r>
      <w:r>
        <w:rPr>
          <w:b/>
        </w:rPr>
        <w:t>Expiration Time</w:t>
      </w:r>
      <w:r>
        <w:rPr/>
        <w:t>" means the earlier of:</w:t>
      </w:r>
    </w:p>
    <w:p>
      <w:pPr>
        <w:pStyle w:val="TextBody"/>
        <w:bidi w:val="0"/>
        <w:spacing w:before="200" w:after="200"/>
        <w:ind w:left="2160" w:right="0" w:hanging="0"/>
        <w:jc w:val="both"/>
        <w:rPr/>
      </w:pPr>
      <w:r>
        <w:rPr/>
        <w:t>(i) the time at which the right to exercise Rights shall terminate pursuant to Section 5.1;</w:t>
      </w:r>
    </w:p>
    <w:p>
      <w:pPr>
        <w:pStyle w:val="TextBody"/>
        <w:bidi w:val="0"/>
        <w:spacing w:before="200" w:after="200"/>
        <w:ind w:left="2160" w:right="0" w:hanging="0"/>
        <w:jc w:val="both"/>
        <w:rPr/>
      </w:pPr>
      <w:r>
        <w:rPr/>
        <w:t>(ii) the time at which the Rights are exchanged as provided in Section 3.2; and</w:t>
      </w:r>
    </w:p>
    <w:p>
      <w:pPr>
        <w:pStyle w:val="TextBody"/>
        <w:bidi w:val="0"/>
        <w:spacing w:before="200" w:after="200"/>
        <w:ind w:left="2160" w:right="0" w:hanging="0"/>
        <w:jc w:val="both"/>
        <w:rPr/>
      </w:pPr>
      <w:r>
        <w:rPr/>
        <w:t>(iii) the Close of Business on August 10, 2027.</w:t>
      </w:r>
    </w:p>
    <w:p>
      <w:pPr>
        <w:pStyle w:val="TextBody"/>
        <w:bidi w:val="0"/>
        <w:spacing w:before="200" w:after="200"/>
        <w:ind w:left="1440" w:right="0" w:hanging="0"/>
        <w:jc w:val="both"/>
        <w:rPr/>
      </w:pPr>
      <w:r>
        <w:rPr/>
        <w:t>(gg) "</w:t>
      </w:r>
      <w:r>
        <w:rPr>
          <w:b/>
        </w:rPr>
        <w:t>Fiduciary</w:t>
      </w:r>
      <w:r>
        <w:rPr/>
        <w:t xml:space="preserve">" means a trust company registered under the trust company legislation of Canada or any province thereof, a trust company organized under the laws of any state of the United States, a portfolio manager registered under the securities legislation of one or more provinces of Canada or an investment adviser registered under the </w:t>
      </w:r>
      <w:r>
        <w:rPr>
          <w:i/>
        </w:rPr>
        <w:t>United States Investment Advisers Act of 1940</w:t>
      </w:r>
      <w:r>
        <w:rPr/>
        <w:t>, as amended, or any other securities legislation of the United States or any state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29" w:name="page_14"/>
      <w:bookmarkEnd w:id="29"/>
      <w:r>
        <w:rPr/>
        <w:t>(hh) "</w:t>
      </w:r>
      <w:r>
        <w:rPr>
          <w:b/>
        </w:rPr>
        <w:t>Flip-in Event</w:t>
      </w:r>
      <w:r>
        <w:rPr/>
        <w:t>" means a transaction or event in or pursuant to which any Person becomes an Acquiring Person.</w:t>
      </w:r>
    </w:p>
    <w:p>
      <w:pPr>
        <w:pStyle w:val="TextBody"/>
        <w:bidi w:val="0"/>
        <w:spacing w:before="200" w:after="200"/>
        <w:ind w:left="1440" w:right="0" w:hanging="0"/>
        <w:jc w:val="both"/>
        <w:rPr/>
      </w:pPr>
      <w:r>
        <w:rPr/>
        <w:t>(ii) "</w:t>
      </w:r>
      <w:r>
        <w:rPr>
          <w:b/>
        </w:rPr>
        <w:t>holder</w:t>
      </w:r>
      <w:r>
        <w:rPr/>
        <w:t>" has the meaning ascribed thereto in Section 2.8.</w:t>
      </w:r>
    </w:p>
    <w:p>
      <w:pPr>
        <w:pStyle w:val="TextBody"/>
        <w:bidi w:val="0"/>
        <w:spacing w:before="200" w:after="200"/>
        <w:ind w:left="1440" w:right="0" w:hanging="0"/>
        <w:jc w:val="both"/>
        <w:rPr/>
      </w:pPr>
      <w:r>
        <w:rPr/>
        <w:t>(jj) "</w:t>
      </w:r>
      <w:r>
        <w:rPr>
          <w:b/>
        </w:rPr>
        <w:t>Independent Shareholders</w:t>
      </w:r>
      <w:r>
        <w:rPr/>
        <w:t>" means holders of outstanding Voting Shares, other than any:</w:t>
      </w:r>
    </w:p>
    <w:p>
      <w:pPr>
        <w:pStyle w:val="TextBody"/>
        <w:bidi w:val="0"/>
        <w:spacing w:before="200" w:after="200"/>
        <w:ind w:left="2160" w:right="0" w:hanging="0"/>
        <w:jc w:val="both"/>
        <w:rPr/>
      </w:pPr>
      <w:r>
        <w:rPr/>
        <w:t>(i) Acquiring Person;</w:t>
      </w:r>
    </w:p>
    <w:p>
      <w:pPr>
        <w:pStyle w:val="TextBody"/>
        <w:bidi w:val="0"/>
        <w:spacing w:before="200" w:after="200"/>
        <w:ind w:left="2160" w:right="0" w:hanging="0"/>
        <w:jc w:val="both"/>
        <w:rPr/>
      </w:pPr>
      <w:r>
        <w:rPr/>
        <w:t>(ii) Offeror other than a Person who at the relevant time is deemed not to Beneficially Own such Voting Shares by reason of Subsection 1.1(f)(ii)(B);</w:t>
      </w:r>
    </w:p>
    <w:p>
      <w:pPr>
        <w:pStyle w:val="TextBody"/>
        <w:bidi w:val="0"/>
        <w:spacing w:before="200" w:after="200"/>
        <w:ind w:left="2160" w:right="0" w:hanging="0"/>
        <w:jc w:val="both"/>
        <w:rPr/>
      </w:pPr>
      <w:r>
        <w:rPr/>
        <w:t>(iii) Affiliate or Associate of such Acquiring Person or Offeror;</w:t>
      </w:r>
    </w:p>
    <w:p>
      <w:pPr>
        <w:pStyle w:val="TextBody"/>
        <w:bidi w:val="0"/>
        <w:spacing w:before="200" w:after="200"/>
        <w:ind w:left="2160" w:right="0" w:hanging="0"/>
        <w:jc w:val="both"/>
        <w:rPr/>
      </w:pPr>
      <w:r>
        <w:rPr/>
        <w:t>(iv) Person acting jointly or in concert with such Acquiring Person or Offeror; or</w:t>
      </w:r>
    </w:p>
    <w:p>
      <w:pPr>
        <w:pStyle w:val="TextBody"/>
        <w:bidi w:val="0"/>
        <w:spacing w:before="200" w:after="200"/>
        <w:ind w:left="2160" w:right="0" w:hanging="0"/>
        <w:jc w:val="both"/>
        <w:rPr/>
      </w:pPr>
      <w:r>
        <w:rPr/>
        <w:t>(v) employee benefit plan, stock purchase plan, deferred profit sharing plan or any similar plan or trust for the benefit of employees of the Corporation or a Subsidiary of the Corporation, unless the beneficiaries of such plan or trust direct the manner in which the Voting Shares are to be voted or withheld from voting or direct whether or not the Voting Shares are to be deposited or tendered to a Take-over Bid.</w:t>
      </w:r>
    </w:p>
    <w:p>
      <w:pPr>
        <w:pStyle w:val="TextBody"/>
        <w:bidi w:val="0"/>
        <w:spacing w:before="200" w:after="200"/>
        <w:ind w:left="1440" w:right="0" w:hanging="0"/>
        <w:jc w:val="both"/>
        <w:rPr/>
      </w:pPr>
      <w:r>
        <w:rPr/>
        <w:t>(kk) "</w:t>
      </w:r>
      <w:r>
        <w:rPr>
          <w:b/>
        </w:rPr>
        <w:t>Market Price</w:t>
      </w:r>
      <w:r>
        <w:rPr/>
        <w:t>" per security of any securities on any date of determination means the average of the daily Closing Prices per security of such securities on each of the 20 consecutive Trading Days through to and including the Trading Day immediately preceding such date of determination; provided, however, that if an event of a type analogous to any of the events described in Section 2.3 shall have caused any Closing Price used to determine the Market Price on any Trading Day not to be fully comparable with the Closing Price on the Trading Day immediately preceding such date of determination, each such Closing Price so used shall be appropriately adjusted in a manner analogous to the applicable adjustment provided for in Section 2.3 in order to make it fully comparable with the Closing Price on the Trading Day immediately preceding such date of determination.</w:t>
      </w:r>
    </w:p>
    <w:p>
      <w:pPr>
        <w:pStyle w:val="TextBody"/>
        <w:bidi w:val="0"/>
        <w:spacing w:before="200" w:after="200"/>
        <w:ind w:left="1440" w:right="0" w:hanging="0"/>
        <w:jc w:val="both"/>
        <w:rPr/>
      </w:pPr>
      <w:r>
        <w:rPr/>
        <w:t>(ll) "</w:t>
      </w:r>
      <w:r>
        <w:rPr>
          <w:b/>
        </w:rPr>
        <w:t>NI 62-104</w:t>
      </w:r>
      <w:r>
        <w:rPr/>
        <w:t xml:space="preserve">" means National Instrument 62-104 - </w:t>
      </w:r>
      <w:r>
        <w:rPr>
          <w:i/>
        </w:rPr>
        <w:t xml:space="preserve">Take-Over Bids and Issuer Bids </w:t>
      </w:r>
      <w:r>
        <w:rPr/>
        <w:t>adopted by the Securities Regulatory Authorities, as now in effect or as the same may from time to time be amended, re-enacted or replaced.</w:t>
      </w:r>
    </w:p>
    <w:p>
      <w:pPr>
        <w:pStyle w:val="TextBody"/>
        <w:bidi w:val="0"/>
        <w:spacing w:before="200" w:after="200"/>
        <w:ind w:left="1440" w:right="0" w:hanging="0"/>
        <w:jc w:val="both"/>
        <w:rPr/>
      </w:pPr>
      <w:r>
        <w:rPr/>
        <w:t>(mm) "</w:t>
      </w:r>
      <w:r>
        <w:rPr>
          <w:b/>
        </w:rPr>
        <w:t>Nominee</w:t>
      </w:r>
      <w:r>
        <w:rPr/>
        <w:t>" has the meaning ascribed thereto in Subsection 2.2(d).</w:t>
      </w:r>
    </w:p>
    <w:p>
      <w:pPr>
        <w:pStyle w:val="TextBody"/>
        <w:bidi w:val="0"/>
        <w:spacing w:before="200" w:after="200"/>
        <w:ind w:left="1440" w:right="0" w:hanging="0"/>
        <w:jc w:val="both"/>
        <w:rPr/>
      </w:pPr>
      <w:r>
        <w:rPr/>
        <w:t>(nn) "</w:t>
      </w:r>
      <w:r>
        <w:rPr>
          <w:b/>
        </w:rPr>
        <w:t>Offer to Acquire</w:t>
      </w:r>
      <w:r>
        <w:rPr/>
        <w:t>" shall include:</w:t>
      </w:r>
    </w:p>
    <w:p>
      <w:pPr>
        <w:pStyle w:val="TextBody"/>
        <w:bidi w:val="0"/>
        <w:spacing w:before="200" w:after="200"/>
        <w:ind w:left="2160" w:right="0" w:hanging="0"/>
        <w:jc w:val="both"/>
        <w:rPr/>
      </w:pPr>
      <w:r>
        <w:rPr/>
        <w:t>(i) an offer to purchase or a solicitation of an offer to sell Voting Shares, or a public announcement of an intention to make such an offer or solicitation; and</w:t>
      </w:r>
    </w:p>
    <w:p>
      <w:pPr>
        <w:pStyle w:val="TextBody"/>
        <w:bidi w:val="0"/>
        <w:spacing w:before="200" w:after="200"/>
        <w:ind w:left="2160" w:right="0" w:hanging="0"/>
        <w:jc w:val="both"/>
        <w:rPr/>
      </w:pPr>
      <w:r>
        <w:rPr/>
        <w:t>(ii) an acceptance of an offer to sell Voting Shares, whether or not such offer to sell has been solicited,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0" w:name="page_15"/>
      <w:bookmarkEnd w:id="30"/>
      <w:r>
        <w:rPr/>
        <w:t>or any combination thereof, and the Person accepting an offer to sell shall be deemed to be making an Offer to Acquire to the Person that made the offer to sell.</w:t>
      </w:r>
    </w:p>
    <w:p>
      <w:pPr>
        <w:pStyle w:val="TextBody"/>
        <w:bidi w:val="0"/>
        <w:spacing w:before="200" w:after="200"/>
        <w:ind w:left="1440" w:right="0" w:hanging="0"/>
        <w:jc w:val="both"/>
        <w:rPr/>
      </w:pPr>
      <w:r>
        <w:rPr/>
        <w:t>(oo) "</w:t>
      </w:r>
      <w:r>
        <w:rPr>
          <w:b/>
        </w:rPr>
        <w:t>Offeror</w:t>
      </w:r>
      <w:r>
        <w:rPr/>
        <w:t>" means a Person who has made a public announcement of a current intention to make, or who is making, a Take-over Bid (including a Permitted Bid or a Competing Permitted Bid).</w:t>
      </w:r>
    </w:p>
    <w:p>
      <w:pPr>
        <w:pStyle w:val="TextBody"/>
        <w:bidi w:val="0"/>
        <w:spacing w:before="200" w:after="200"/>
        <w:ind w:left="1440" w:right="0" w:hanging="0"/>
        <w:jc w:val="both"/>
        <w:rPr/>
      </w:pPr>
      <w:r>
        <w:rPr/>
        <w:t>(pp) "</w:t>
      </w:r>
      <w:r>
        <w:rPr>
          <w:b/>
        </w:rPr>
        <w:t>Offeror's Securities</w:t>
      </w:r>
      <w:r>
        <w:rPr/>
        <w:t>" means the aggregate of the Voting Shares Beneficially Owned by an Offeror on the date of an Offer to Acquire.</w:t>
      </w:r>
    </w:p>
    <w:p>
      <w:pPr>
        <w:pStyle w:val="TextBody"/>
        <w:bidi w:val="0"/>
        <w:spacing w:before="200" w:after="200"/>
        <w:ind w:left="1440" w:right="0" w:hanging="0"/>
        <w:jc w:val="both"/>
        <w:rPr/>
      </w:pPr>
      <w:r>
        <w:rPr/>
        <w:t>(qq) "</w:t>
      </w:r>
      <w:r>
        <w:rPr>
          <w:b/>
        </w:rPr>
        <w:t>Permitted Bid</w:t>
      </w:r>
      <w:r>
        <w:rPr/>
        <w:t>" means a Take-over Bid made by an Offeror by way of take-over bid circular which also complies with the following additional provisions:</w:t>
      </w:r>
    </w:p>
    <w:p>
      <w:pPr>
        <w:pStyle w:val="TextBody"/>
        <w:bidi w:val="0"/>
        <w:spacing w:before="200" w:after="200"/>
        <w:ind w:left="2160" w:right="0" w:hanging="0"/>
        <w:jc w:val="both"/>
        <w:rPr/>
      </w:pPr>
      <w:r>
        <w:rPr/>
        <w:t>(i) the Take-over Bid is made to all holders of record of Voting Shares, other than the Offeror;</w:t>
      </w:r>
    </w:p>
    <w:p>
      <w:pPr>
        <w:pStyle w:val="TextBody"/>
        <w:bidi w:val="0"/>
        <w:spacing w:before="200" w:after="200"/>
        <w:ind w:left="2160" w:right="0" w:hanging="0"/>
        <w:jc w:val="both"/>
        <w:rPr/>
      </w:pPr>
      <w:r>
        <w:rPr/>
        <w:t>(ii) the Take-over Bid contains, and the take-up and payment for securities tendered or deposited is subject to, an irrevocable and unqualified provision that no Voting Shares and/or Convertible Securities will be taken up or paid for pursuant to the Take-over Bid:</w:t>
      </w:r>
    </w:p>
    <w:p>
      <w:pPr>
        <w:pStyle w:val="TextBody"/>
        <w:bidi w:val="0"/>
        <w:spacing w:before="200" w:after="200"/>
        <w:ind w:left="2880" w:right="0" w:hanging="0"/>
        <w:jc w:val="both"/>
        <w:rPr/>
      </w:pPr>
      <w:r>
        <w:rPr/>
        <w:t>(A) prior to the Close of Business on a date that is not less than 105 days following the date of the Take-over Bid or such shorter minimum period that a take-over bid that is not exempt from any of the requirements of Division 5 (Bid Mechanics) of NI 62-104 must remain open for deposits of securities thereunder, in the applicable circumstances at such time, pursuant to NI 62-104; and</w:t>
      </w:r>
    </w:p>
    <w:p>
      <w:pPr>
        <w:pStyle w:val="TextBody"/>
        <w:bidi w:val="0"/>
        <w:spacing w:before="200" w:after="200"/>
        <w:ind w:left="2880" w:right="0" w:hanging="0"/>
        <w:jc w:val="both"/>
        <w:rPr/>
      </w:pPr>
      <w:r>
        <w:rPr/>
        <w:t>(B) then only if, at the Close of Business on the date Voting Shares and/or Convertible Securities are first taken up or paid for under such Take-over Bid, more than 50% of the then Voting Shares held by Independent Shareholders have been deposited or tendered pursuant to the Take-over Bid and not withdrawn;</w:t>
      </w:r>
    </w:p>
    <w:p>
      <w:pPr>
        <w:pStyle w:val="TextBody"/>
        <w:bidi w:val="0"/>
        <w:spacing w:before="200" w:after="200"/>
        <w:ind w:left="2160" w:right="0" w:hanging="0"/>
        <w:jc w:val="both"/>
        <w:rPr/>
      </w:pPr>
      <w:r>
        <w:rPr/>
        <w:t>(iii) the Take-over Bid contains an irrevocable and unqualified provision that Voting Shares and/or Convertible Securities may be deposited or tendered pursuant to such Take-over Bid, unless such Take-over Bid is withdrawn, at any time prior to the Close of Business on the date Voting Shares and/or Convertible Securities are first taken up or paid for under the Take-over Bid;</w:t>
      </w:r>
    </w:p>
    <w:p>
      <w:pPr>
        <w:pStyle w:val="TextBody"/>
        <w:bidi w:val="0"/>
        <w:spacing w:before="200" w:after="200"/>
        <w:ind w:left="2160" w:right="0" w:hanging="0"/>
        <w:jc w:val="both"/>
        <w:rPr/>
      </w:pPr>
      <w:r>
        <w:rPr/>
        <w:t>(iv) the Take-over Bid contains an irrevocable and unqualified provision that any Voting Shares and/or Convertible Securities deposited or tendered pursuant to the Take-over Bid may be withdrawn until taken up and paid for; and</w:t>
      </w:r>
    </w:p>
    <w:p>
      <w:pPr>
        <w:pStyle w:val="TextBody"/>
        <w:bidi w:val="0"/>
        <w:spacing w:before="200" w:after="200"/>
        <w:ind w:left="2160" w:right="0" w:hanging="0"/>
        <w:jc w:val="both"/>
        <w:rPr/>
      </w:pPr>
      <w:r>
        <w:rPr/>
        <w:t>(v) the Take-over Bid contains an irrevocable and unqualified provision that in the event that the deposit condition set forth in Subsection 1.1(qq)(ii)(B) is satisfied, the Offeror will make a public announcement of that fact and the Take-over Bid will remain open for deposits and tenders of Voting Shares and/or Convertible Securities for not less than 10 days from the date of such public announcement;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1" w:name="page_16"/>
      <w:bookmarkEnd w:id="31"/>
      <w:r>
        <w:rPr/>
        <w:t>provided, however, that a Take-over Bid that qualified as a Permitted Bid shall cease to be a Permitted Bid at any time and as soon as such time as when such Take-over Bid ceases to meet any or all of the provisions of this definition.</w:t>
      </w:r>
    </w:p>
    <w:p>
      <w:pPr>
        <w:pStyle w:val="TextBody"/>
        <w:bidi w:val="0"/>
        <w:spacing w:before="200" w:after="200"/>
        <w:ind w:left="1440" w:right="0" w:hanging="0"/>
        <w:jc w:val="both"/>
        <w:rPr/>
      </w:pPr>
      <w:r>
        <w:rPr/>
        <w:t>(rr) "</w:t>
      </w:r>
      <w:r>
        <w:rPr>
          <w:b/>
        </w:rPr>
        <w:t>Permitted Bid Acquisition</w:t>
      </w:r>
      <w:r>
        <w:rPr/>
        <w:t>" means an acquisition of Voting Shares and/or Convertible Securities made pursuant to a Permitted Bid or a Competing Permitted Bid; provided that, for greater certainty, any acquisition of Voting Shares and/or Convertible Securities made pursuant to a Competing Permitted Bid or a Permitted Bid that ceased to be a Competing Permitted Bid or a Permitted Bid by reason of such acquisition ceasing to meet any or all of the provisions of the definition of "Competing Permitted Bid" or "Permitted Bid", as applicable, including before such acquisition ceased to be a Competing Permitted Bid or Permitted Bid, as applicable, will not be a Permitted Bid Acquisition.</w:t>
      </w:r>
    </w:p>
    <w:p>
      <w:pPr>
        <w:pStyle w:val="TextBody"/>
        <w:bidi w:val="0"/>
        <w:spacing w:before="200" w:after="200"/>
        <w:ind w:left="1440" w:right="0" w:hanging="0"/>
        <w:jc w:val="both"/>
        <w:rPr/>
      </w:pPr>
      <w:r>
        <w:rPr/>
        <w:t>(ss) "</w:t>
      </w:r>
      <w:r>
        <w:rPr>
          <w:b/>
        </w:rPr>
        <w:t>Permitted Lock-Up Agreement</w:t>
      </w:r>
      <w:r>
        <w:rPr/>
        <w:t>" means an agreement between a Person and one or more holders of Voting Shares and/or Convertible Securities (each a "</w:t>
      </w:r>
      <w:r>
        <w:rPr>
          <w:b/>
        </w:rPr>
        <w:t>Locked-Up Person</w:t>
      </w:r>
      <w:r>
        <w:rPr/>
        <w:t>") pursuant to which such Locked-Up Person agrees to deposit or tender Voting Shares and/or Convertible Securities to a Take-over Bid (the "</w:t>
      </w:r>
      <w:r>
        <w:rPr>
          <w:b/>
        </w:rPr>
        <w:t>Lock-Up Bid</w:t>
      </w:r>
      <w:r>
        <w:rPr/>
        <w:t>") made or to be made by such Person, any of such Person's Affiliates or Associates or any other Person with which, and in respect of which security, such Person is acting jointly or in concert; provided that:</w:t>
      </w:r>
    </w:p>
    <w:p>
      <w:pPr>
        <w:pStyle w:val="TextBody"/>
        <w:bidi w:val="0"/>
        <w:spacing w:before="200" w:after="200"/>
        <w:ind w:left="2160" w:right="0" w:hanging="0"/>
        <w:jc w:val="both"/>
        <w:rPr/>
      </w:pPr>
      <w:r>
        <w:rPr/>
        <w:t>(i) the terms of such agreement are publicly disclosed and a copy is made available to the public (including the Corporation) not later than the date of the Lock-Up Bid or, if the Lock-Up Bid has been made prior to the date on which such agreement is entered into, not later than the date of such agreement (or, if such date is not a Business Day, on the Business Day next following such date);</w:t>
      </w:r>
    </w:p>
    <w:p>
      <w:pPr>
        <w:pStyle w:val="TextBody"/>
        <w:bidi w:val="0"/>
        <w:spacing w:before="200" w:after="200"/>
        <w:ind w:left="2160" w:right="0" w:hanging="0"/>
        <w:jc w:val="both"/>
        <w:rPr/>
      </w:pPr>
      <w:r>
        <w:rPr/>
        <w:t>(ii) the agreement permits such Locked-Up Person to terminate its obligation to deposit or tender to or not to withdraw Voting Shares and/or Convertible Securities from the Lock-Up Bid, and to terminate any obligation with respect to the voting of such securities, in order to deposit or tender such securities to another Take-over Bid or to support another transaction:</w:t>
      </w:r>
    </w:p>
    <w:p>
      <w:pPr>
        <w:pStyle w:val="TextBody"/>
        <w:bidi w:val="0"/>
        <w:spacing w:before="200" w:after="200"/>
        <w:ind w:left="2880" w:right="0" w:hanging="0"/>
        <w:jc w:val="both"/>
        <w:rPr/>
      </w:pPr>
      <w:r>
        <w:rPr/>
        <w:t>(A) where the price or value of the consideration per Voting Share or Convertible Security offered under such other Take-over Bid or transaction:</w:t>
      </w:r>
    </w:p>
    <w:p>
      <w:pPr>
        <w:pStyle w:val="TextBody"/>
        <w:bidi w:val="0"/>
        <w:spacing w:before="200" w:after="200"/>
        <w:ind w:left="3600" w:right="0" w:hanging="0"/>
        <w:jc w:val="both"/>
        <w:rPr/>
      </w:pPr>
      <w:r>
        <w:rPr/>
        <w:t>(1) exceeds the price or value of the consideration per Voting Share and/or Convertible Security offered under the Lock-Up Bid; or</w:t>
      </w:r>
    </w:p>
    <w:p>
      <w:pPr>
        <w:pStyle w:val="TextBody"/>
        <w:bidi w:val="0"/>
        <w:spacing w:before="200" w:after="200"/>
        <w:ind w:left="3600" w:right="0" w:hanging="0"/>
        <w:jc w:val="both"/>
        <w:rPr/>
      </w:pPr>
      <w:r>
        <w:rPr/>
        <w:t>(2) exceeds by as much as or more than a specified amount (the "</w:t>
      </w:r>
      <w:r>
        <w:rPr>
          <w:b/>
        </w:rPr>
        <w:t>Specified Amount</w:t>
      </w:r>
      <w:r>
        <w:rPr/>
        <w:t>") the price or value of the consideration per Voting Share or Convertible Security at which the Locked-Up Person has agreed to deposit or tender Voting Shares and/or Convertible Securities to the Lock-Up Bid; provided that such Specified Amount is not greater than 3% of the price or value of the consideration per Voting Share or Convertible Security offered under the Lock-Up Bid; and</w:t>
      </w:r>
    </w:p>
    <w:p>
      <w:pPr>
        <w:pStyle w:val="TextBody"/>
        <w:bidi w:val="0"/>
        <w:spacing w:before="200" w:after="200"/>
        <w:ind w:left="2880" w:right="0" w:hanging="0"/>
        <w:jc w:val="both"/>
        <w:rPr/>
      </w:pPr>
      <w:r>
        <w:rPr/>
        <w:t>(B) if the number of Voting Shares or Convertible Securities offered to be purchased under the Lock-Up Bid is less than 100% of the Voting Shares or Convertible Securities held by Independent Shareholders, where the price or value of the consideration per Voting Share or Convertible Security offered under such other Take-over Bid or transaction is not less than the price or value of the consideration per Voting Share or Convertible Security offered under the Lock-Up Bid and the number of Voting Shares and/or Convertible Securities to be purchased under such other Take-over Bid or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3600" w:right="0" w:hanging="0"/>
        <w:jc w:val="both"/>
        <w:rPr/>
      </w:pPr>
      <w:bookmarkStart w:id="32" w:name="page_17"/>
      <w:bookmarkEnd w:id="32"/>
      <w:r>
        <w:rPr/>
        <w:t>(1) exceeds the number of Voting Shares and/or Convertible Securities that the Offeror has offered to purchase under the Lock-Up Bid; or</w:t>
      </w:r>
    </w:p>
    <w:p>
      <w:pPr>
        <w:pStyle w:val="TextBody"/>
        <w:bidi w:val="0"/>
        <w:spacing w:before="200" w:after="200"/>
        <w:ind w:left="3600" w:right="0" w:hanging="0"/>
        <w:jc w:val="both"/>
        <w:rPr/>
      </w:pPr>
      <w:r>
        <w:rPr/>
        <w:t>(2) exceeds by as much as or more than a specified number (the "</w:t>
      </w:r>
      <w:r>
        <w:rPr>
          <w:b/>
        </w:rPr>
        <w:t>Specified Number</w:t>
      </w:r>
      <w:r>
        <w:rPr/>
        <w:t>") the number of Voting Shares or Convertible Securities that the Offeror has offered to purchase under the Lock-Up Bid; provided that the Specified Number is not greater than 3% of the number of Voting Shares or Convertible Securities offered to be purchased under the Lock-Up Bid;</w:t>
      </w:r>
    </w:p>
    <w:p>
      <w:pPr>
        <w:pStyle w:val="TextBody"/>
        <w:bidi w:val="0"/>
        <w:spacing w:before="200" w:after="200"/>
        <w:ind w:left="2160" w:right="0" w:hanging="0"/>
        <w:jc w:val="both"/>
        <w:rPr/>
      </w:pPr>
      <w:r>
        <w:rPr/>
        <w:t>and for greater certainty, such agreement may contain a right of first refusal or require a period of delay to give the Offeror under the Lock-Up Bid an opportunity to match the higher price, value or number in such other Take-over Bid or transaction, or other similar limitation on a Locked-Up Person's right to withdraw Voting Shares from the agreement, so long as the limitation does not preclude the exercise by the Locked-Up Person of the right to withdraw Voting Shares and/or Convertible Securities in sufficient time to deposit or tender to the other Take-over Bid or support the other transaction; and</w:t>
      </w:r>
    </w:p>
    <w:p>
      <w:pPr>
        <w:pStyle w:val="TextBody"/>
        <w:bidi w:val="0"/>
        <w:spacing w:before="200" w:after="200"/>
        <w:ind w:left="2160" w:right="0" w:hanging="0"/>
        <w:jc w:val="both"/>
        <w:rPr/>
      </w:pPr>
      <w:r>
        <w:rPr/>
        <w:t>(iii) no "break-up" fees, "top-up" fees, penalties, expenses or other amounts that exceed in the aggregate the greater of:</w:t>
      </w:r>
    </w:p>
    <w:p>
      <w:pPr>
        <w:pStyle w:val="TextBody"/>
        <w:bidi w:val="0"/>
        <w:spacing w:before="200" w:after="200"/>
        <w:ind w:left="2880" w:right="0" w:hanging="0"/>
        <w:jc w:val="both"/>
        <w:rPr/>
      </w:pPr>
      <w:r>
        <w:rPr/>
        <w:t>(A) the cash equivalent of 1.5% of the price or value of the consideration payable under the Lock-Up Bid to a Locked-Up Person; and</w:t>
      </w:r>
    </w:p>
    <w:p>
      <w:pPr>
        <w:pStyle w:val="TextBody"/>
        <w:bidi w:val="0"/>
        <w:spacing w:before="200" w:after="200"/>
        <w:ind w:left="2880" w:right="0" w:hanging="0"/>
        <w:jc w:val="both"/>
        <w:rPr/>
      </w:pPr>
      <w:r>
        <w:rPr/>
        <w:t>(B) 30% of the amount by which the price or value of the consideration payable under another Take-over Bid or other transaction to a Locked-Up Person exceeds the price or value of the consideration that such Locked-Up Person would have received under the Lock-Up Bid,</w:t>
      </w:r>
    </w:p>
    <w:p>
      <w:pPr>
        <w:pStyle w:val="TextBody"/>
        <w:bidi w:val="0"/>
        <w:spacing w:before="200" w:after="200"/>
        <w:ind w:left="2160" w:right="0" w:hanging="0"/>
        <w:jc w:val="both"/>
        <w:rPr/>
      </w:pPr>
      <w:r>
        <w:rPr/>
        <w:t>shall be payable by a Locked-Up Person pursuant to the agreement in the event that the Lock-Up Bid is not successfully concluded or if any Locked-Up Person fails to deposit or tender Voting Shares and/or Convertible Securities to the Lock-Up Bid or withdraws Voting Shares and/or Convertible Securities previously deposited or tendered thereto in order to deposit or tender to another Take-over Bid or support another transaction.</w:t>
      </w:r>
    </w:p>
    <w:p>
      <w:pPr>
        <w:pStyle w:val="TextBody"/>
        <w:bidi w:val="0"/>
        <w:spacing w:before="200" w:after="200"/>
        <w:ind w:left="1440" w:right="0" w:hanging="0"/>
        <w:jc w:val="both"/>
        <w:rPr/>
      </w:pPr>
      <w:r>
        <w:rPr/>
        <w:t>(tt) "</w:t>
      </w:r>
      <w:r>
        <w:rPr>
          <w:b/>
        </w:rPr>
        <w:t>Person</w:t>
      </w:r>
      <w:r>
        <w:rPr/>
        <w:t>" includes any individual, firm, partnership, association, trust, trustee, executor, administrator, legal personal representative, government, governmental body or authority, corporation, or other incorporated or unincorporated organization, syndicate or other entity.</w:t>
      </w:r>
    </w:p>
    <w:p>
      <w:pPr>
        <w:pStyle w:val="TextBody"/>
        <w:bidi w:val="0"/>
        <w:spacing w:before="200" w:after="200"/>
        <w:ind w:left="1440" w:right="0" w:hanging="0"/>
        <w:jc w:val="both"/>
        <w:rPr/>
      </w:pPr>
      <w:r>
        <w:rPr/>
        <w:t>(uu) "</w:t>
      </w:r>
      <w:r>
        <w:rPr>
          <w:b/>
        </w:rPr>
        <w:t>Privacy Laws</w:t>
      </w:r>
      <w:r>
        <w:rPr/>
        <w:t>" has the meaning set forth in Section 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3" w:name="page_18"/>
      <w:bookmarkEnd w:id="33"/>
      <w:r>
        <w:rPr/>
        <w:t>(vv) "</w:t>
      </w:r>
      <w:r>
        <w:rPr>
          <w:b/>
        </w:rPr>
        <w:t>Pro Rata Acquisition</w:t>
      </w:r>
      <w:r>
        <w:rPr/>
        <w:t>" means an acquisition by a Person of Voting Shares and/or Convertible Securities pursuant to:</w:t>
      </w:r>
    </w:p>
    <w:p>
      <w:pPr>
        <w:pStyle w:val="TextBody"/>
        <w:bidi w:val="0"/>
        <w:spacing w:before="200" w:after="200"/>
        <w:ind w:left="2160" w:right="0" w:hanging="0"/>
        <w:jc w:val="both"/>
        <w:rPr/>
      </w:pPr>
      <w:r>
        <w:rPr/>
        <w:t>(i) a Dividend Reinvestment Acquisition;</w:t>
      </w:r>
    </w:p>
    <w:p>
      <w:pPr>
        <w:pStyle w:val="TextBody"/>
        <w:bidi w:val="0"/>
        <w:spacing w:before="200" w:after="200"/>
        <w:ind w:left="2160" w:right="0" w:hanging="0"/>
        <w:jc w:val="both"/>
        <w:rPr/>
      </w:pPr>
      <w:r>
        <w:rPr/>
        <w:t>(ii) a stock dividend, a stock split or other event pursuant to which such Person becomes the Beneficial Owner of Voting Shares and/or Convertible Securities on the same pro rata basis as all other holders of Voting Shares of the same class or series;</w:t>
      </w:r>
    </w:p>
    <w:p>
      <w:pPr>
        <w:pStyle w:val="TextBody"/>
        <w:bidi w:val="0"/>
        <w:spacing w:before="200" w:after="200"/>
        <w:ind w:left="2160" w:right="0" w:hanging="0"/>
        <w:jc w:val="both"/>
        <w:rPr/>
      </w:pPr>
      <w:r>
        <w:rPr/>
        <w:t>(iii) the acquisition or exercise by the Person of only those rights to purchase Voting Shares and/or Convertible Securities distributed directly by the Corporation to that Person (and not acquired from any other Person) in the course of a distribution to all holders of securities of the Corporation of one or more particular classes or series pursuant to a rights offering; or</w:t>
      </w:r>
    </w:p>
    <w:p>
      <w:pPr>
        <w:pStyle w:val="TextBody"/>
        <w:bidi w:val="0"/>
        <w:spacing w:before="200" w:after="200"/>
        <w:ind w:left="2160" w:right="0" w:hanging="0"/>
        <w:jc w:val="both"/>
        <w:rPr/>
      </w:pPr>
      <w:r>
        <w:rPr/>
        <w:t>(iv) a distribution of Voting Shares and/or Convertible Securities made pursuant to a prospectus or by way of a private placement or a conversion or exchange of any Convertible Security;</w:t>
      </w:r>
    </w:p>
    <w:p>
      <w:pPr>
        <w:pStyle w:val="TextBody"/>
        <w:bidi w:val="0"/>
        <w:spacing w:before="200" w:after="200"/>
        <w:ind w:left="1440" w:right="0" w:hanging="0"/>
        <w:jc w:val="both"/>
        <w:rPr/>
      </w:pPr>
      <w:r>
        <w:rPr/>
        <w:t>provided, however, that such Person does not thereby acquire a greater percentage of Voting Shares or of Convertible Securities so offered than such Person's percentage of Voting Shares Beneficially Owned immediately prior to such acquisition.</w:t>
      </w:r>
    </w:p>
    <w:p>
      <w:pPr>
        <w:pStyle w:val="TextBody"/>
        <w:bidi w:val="0"/>
        <w:spacing w:before="200" w:after="200"/>
        <w:ind w:left="1440" w:right="0" w:hanging="0"/>
        <w:jc w:val="both"/>
        <w:rPr/>
      </w:pPr>
      <w:r>
        <w:rPr/>
        <w:t>(ww) "</w:t>
      </w:r>
      <w:r>
        <w:rPr>
          <w:b/>
        </w:rPr>
        <w:t>Reconfirmation Meeting</w:t>
      </w:r>
      <w:r>
        <w:rPr/>
        <w:t>" has the meaning set forth in Section 5.15.</w:t>
      </w:r>
    </w:p>
    <w:p>
      <w:pPr>
        <w:pStyle w:val="TextBody"/>
        <w:bidi w:val="0"/>
        <w:spacing w:before="200" w:after="200"/>
        <w:ind w:left="1440" w:right="0" w:hanging="0"/>
        <w:jc w:val="both"/>
        <w:rPr/>
      </w:pPr>
      <w:r>
        <w:rPr/>
        <w:t>(xx)  "</w:t>
      </w:r>
      <w:r>
        <w:rPr>
          <w:b/>
        </w:rPr>
        <w:t>Record Time</w:t>
      </w:r>
      <w:r>
        <w:rPr/>
        <w:t>" means the Close of Business (Toronto time) on the date that is ten (10) days after the Effective Date.</w:t>
      </w:r>
    </w:p>
    <w:p>
      <w:pPr>
        <w:pStyle w:val="TextBody"/>
        <w:bidi w:val="0"/>
        <w:spacing w:before="200" w:after="200"/>
        <w:ind w:left="1440" w:right="0" w:hanging="0"/>
        <w:jc w:val="both"/>
        <w:rPr/>
      </w:pPr>
      <w:r>
        <w:rPr/>
        <w:t>(yy) "</w:t>
      </w:r>
      <w:r>
        <w:rPr>
          <w:b/>
        </w:rPr>
        <w:t>Redemption Price</w:t>
      </w:r>
      <w:r>
        <w:rPr/>
        <w:t>" has the meaning set forth in Subsection 5.1(a).</w:t>
      </w:r>
    </w:p>
    <w:p>
      <w:pPr>
        <w:pStyle w:val="TextBody"/>
        <w:bidi w:val="0"/>
        <w:spacing w:before="200" w:after="200"/>
        <w:ind w:left="1440" w:right="0" w:hanging="0"/>
        <w:jc w:val="both"/>
        <w:rPr/>
      </w:pPr>
      <w:r>
        <w:rPr/>
        <w:t>(zz) "</w:t>
      </w:r>
      <w:r>
        <w:rPr>
          <w:b/>
        </w:rPr>
        <w:t>Regular Periodic Cash Dividend</w:t>
      </w:r>
      <w:r>
        <w:rPr/>
        <w:t>" means cash dividends paid on the Common Shares at regular intervals in any fiscal year of the Corporation to the extent that such cash dividends do not exceed in the aggregate in any fiscal year, on a per share basis, the greatest of:</w:t>
      </w:r>
    </w:p>
    <w:p>
      <w:pPr>
        <w:pStyle w:val="TextBody"/>
        <w:bidi w:val="0"/>
        <w:spacing w:before="200" w:after="200"/>
        <w:ind w:left="2160" w:right="0" w:hanging="0"/>
        <w:jc w:val="both"/>
        <w:rPr/>
      </w:pPr>
      <w:r>
        <w:rPr/>
        <w:t>(i) 200% of the aggregate amount of cash dividends declared payable by the Corporation on its Common Shares in its immediately preceding fiscal year divided by the number of Common Shares outstanding as at the end of such fiscal year;</w:t>
      </w:r>
    </w:p>
    <w:p>
      <w:pPr>
        <w:pStyle w:val="TextBody"/>
        <w:bidi w:val="0"/>
        <w:spacing w:before="200" w:after="200"/>
        <w:ind w:left="2160" w:right="0" w:hanging="0"/>
        <w:jc w:val="both"/>
        <w:rPr/>
      </w:pPr>
      <w:r>
        <w:rPr/>
        <w:t>(ii) 250% of the arithmetic mean of the aggregate amounts of cash dividends declared payable by the Corporation on its Common Shares in its three immediately preceding fiscal years divided by the arithmetic mean of the number of Common Shares outstanding as at the end of each of such fiscal years; and</w:t>
      </w:r>
    </w:p>
    <w:p>
      <w:pPr>
        <w:pStyle w:val="TextBody"/>
        <w:bidi w:val="0"/>
        <w:spacing w:before="200" w:after="200"/>
        <w:ind w:left="2160" w:right="0" w:hanging="0"/>
        <w:jc w:val="both"/>
        <w:rPr/>
      </w:pPr>
      <w:r>
        <w:rPr/>
        <w:t>(iii) 100% of the aggregate consolidated net income of the Corporation, before extraordinary items, for its immediately preceding fiscal year divided by the number of Common Shares outstanding as at the end of such fiscal year.</w:t>
      </w:r>
    </w:p>
    <w:p>
      <w:pPr>
        <w:pStyle w:val="TextBody"/>
        <w:bidi w:val="0"/>
        <w:spacing w:before="200" w:after="200"/>
        <w:ind w:left="1440" w:right="0" w:hanging="0"/>
        <w:jc w:val="both"/>
        <w:rPr/>
      </w:pPr>
      <w:r>
        <w:rPr/>
        <w:t>(aaa) "</w:t>
      </w:r>
      <w:r>
        <w:rPr>
          <w:b/>
        </w:rPr>
        <w:t>Right</w:t>
      </w:r>
      <w:r>
        <w:rPr/>
        <w:t>" means a right to purchase securities upon the terms and subject to the conditions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4" w:name="page_19"/>
      <w:bookmarkEnd w:id="34"/>
      <w:r>
        <w:rPr/>
        <w:t>(bbb) "</w:t>
      </w:r>
      <w:r>
        <w:rPr>
          <w:b/>
        </w:rPr>
        <w:t>Rights Certificates</w:t>
      </w:r>
      <w:r>
        <w:rPr/>
        <w:t>" means the certificates representing the Rights after the Separation Time, which shall be substantially in the form attached hereto as Schedule "A" or such other form as the Corporation and the Rights Agent may agree.</w:t>
      </w:r>
    </w:p>
    <w:p>
      <w:pPr>
        <w:pStyle w:val="TextBody"/>
        <w:bidi w:val="0"/>
        <w:spacing w:before="200" w:after="200"/>
        <w:ind w:left="1440" w:right="0" w:hanging="0"/>
        <w:jc w:val="both"/>
        <w:rPr/>
      </w:pPr>
      <w:r>
        <w:rPr/>
        <w:t>(ccc) "</w:t>
      </w:r>
      <w:r>
        <w:rPr>
          <w:b/>
        </w:rPr>
        <w:t>Rights Register</w:t>
      </w:r>
      <w:r>
        <w:rPr/>
        <w:t>" and "</w:t>
      </w:r>
      <w:r>
        <w:rPr>
          <w:b/>
        </w:rPr>
        <w:t>Rights Registrar</w:t>
      </w:r>
      <w:r>
        <w:rPr/>
        <w:t>" have the respective meanings ascribed thereto in Subsection 2.6(a).</w:t>
      </w:r>
    </w:p>
    <w:p>
      <w:pPr>
        <w:pStyle w:val="TextBody"/>
        <w:bidi w:val="0"/>
        <w:spacing w:before="200" w:after="200"/>
        <w:ind w:left="1440" w:right="0" w:hanging="0"/>
        <w:jc w:val="both"/>
        <w:rPr/>
      </w:pPr>
      <w:r>
        <w:rPr/>
        <w:t>(ddd) "</w:t>
      </w:r>
      <w:r>
        <w:rPr>
          <w:b/>
          <w:i/>
        </w:rPr>
        <w:t xml:space="preserve">Securities Act </w:t>
      </w:r>
      <w:r>
        <w:rPr>
          <w:b/>
        </w:rPr>
        <w:t>(Ontario)</w:t>
      </w:r>
      <w:r>
        <w:rPr/>
        <w:t xml:space="preserve">" means the </w:t>
      </w:r>
      <w:r>
        <w:rPr>
          <w:i/>
        </w:rPr>
        <w:t>Securities Act</w:t>
      </w:r>
      <w:r>
        <w:rPr/>
        <w:t>, R.S.O. 1990, c S.5, as amended, and the rules and regulations made thereunder, as now in effect or as the same may from time to time be amended, re-enacted or replaced.</w:t>
      </w:r>
    </w:p>
    <w:p>
      <w:pPr>
        <w:pStyle w:val="TextBody"/>
        <w:bidi w:val="0"/>
        <w:spacing w:before="200" w:after="200"/>
        <w:ind w:left="1440" w:right="0" w:hanging="0"/>
        <w:jc w:val="both"/>
        <w:rPr/>
      </w:pPr>
      <w:r>
        <w:rPr/>
        <w:t>(eee) "</w:t>
      </w:r>
      <w:r>
        <w:rPr>
          <w:b/>
        </w:rPr>
        <w:t>Securities Regulatory Authorities</w:t>
      </w:r>
      <w:r>
        <w:rPr/>
        <w:t>" means each applicable body created by statute in any Canadian jurisdiction to administer the securities laws of such jurisdiction, including (without limitation) a Canadian provincial or territorial securities commission.</w:t>
      </w:r>
    </w:p>
    <w:p>
      <w:pPr>
        <w:pStyle w:val="TextBody"/>
        <w:bidi w:val="0"/>
        <w:spacing w:before="200" w:after="200"/>
        <w:ind w:left="1440" w:right="0" w:hanging="0"/>
        <w:jc w:val="both"/>
        <w:rPr/>
      </w:pPr>
      <w:r>
        <w:rPr/>
        <w:t>(fff) "</w:t>
      </w:r>
      <w:r>
        <w:rPr>
          <w:b/>
        </w:rPr>
        <w:t>Separation Time</w:t>
      </w:r>
      <w:r>
        <w:rPr/>
        <w:t>" means the later of (A) the Record Time and (B) the Close of Business on the tenth Trading Day after the earlier of:</w:t>
      </w:r>
    </w:p>
    <w:p>
      <w:pPr>
        <w:pStyle w:val="TextBody"/>
        <w:bidi w:val="0"/>
        <w:spacing w:before="200" w:after="200"/>
        <w:ind w:left="2160" w:right="0" w:hanging="0"/>
        <w:jc w:val="both"/>
        <w:rPr/>
      </w:pPr>
      <w:r>
        <w:rPr/>
        <w:t>(i) the Share Acquisition Date;</w:t>
      </w:r>
    </w:p>
    <w:p>
      <w:pPr>
        <w:pStyle w:val="TextBody"/>
        <w:bidi w:val="0"/>
        <w:spacing w:before="200" w:after="200"/>
        <w:ind w:left="2160" w:right="0" w:hanging="0"/>
        <w:jc w:val="both"/>
        <w:rPr/>
      </w:pPr>
      <w:r>
        <w:rPr/>
        <w:t>(ii) the date of the commencement of, or first public announcement or disclosure of the intent of any Person (other than the Corporation or any Subsidiary of the Corporation) to commence, a Take-over Bid (other than a Permitted Bid or Competing Permitted Bid, so long as such Take-over Bid continues to satisfy the requirements of a Permitted Bid or Competing Permitted Bid); and</w:t>
      </w:r>
    </w:p>
    <w:p>
      <w:pPr>
        <w:pStyle w:val="TextBody"/>
        <w:bidi w:val="0"/>
        <w:spacing w:before="200" w:after="200"/>
        <w:ind w:left="2160" w:right="0" w:hanging="0"/>
        <w:jc w:val="both"/>
        <w:rPr/>
      </w:pPr>
      <w:r>
        <w:rPr/>
        <w:t>(iii) the date on which a Permitted Bid or Competing Permitted Bid ceases to qualify as a Permitted Bid or Competing Permitted Bid, as applicable,</w:t>
      </w:r>
    </w:p>
    <w:p>
      <w:pPr>
        <w:pStyle w:val="TextBody"/>
        <w:bidi w:val="0"/>
        <w:spacing w:before="200" w:after="200"/>
        <w:ind w:left="1440" w:right="0" w:hanging="0"/>
        <w:jc w:val="both"/>
        <w:rPr/>
      </w:pPr>
      <w:r>
        <w:rPr/>
        <w:t>or such later date as may be determined by the Board of Directors in good faith; provided, however, that if any Take-over Bid referred to in Subsection 1.1(fff)(ii) above expires, is not made or is cancelled, terminated or otherwise withdrawn prior to the Separation Time, such Take-over Bid shall be deemed, for the purposes of this definition, never to have been commenced, made or announced and further provided that if the Board of Directors determines, pursuant to Section 5.1, to waive the application of Section 3.1 to a Flip-in Event, then the Separation Time in respect of such Flip-in Event shall be deemed never to have occurred.</w:t>
      </w:r>
    </w:p>
    <w:p>
      <w:pPr>
        <w:pStyle w:val="TextBody"/>
        <w:bidi w:val="0"/>
        <w:spacing w:before="200" w:after="200"/>
        <w:ind w:left="1440" w:right="0" w:hanging="0"/>
        <w:jc w:val="both"/>
        <w:rPr/>
      </w:pPr>
      <w:r>
        <w:rPr/>
        <w:t>(ggg) "</w:t>
      </w:r>
      <w:r>
        <w:rPr>
          <w:b/>
        </w:rPr>
        <w:t>Share Acquisition Date</w:t>
      </w:r>
      <w:r>
        <w:rPr/>
        <w:t xml:space="preserve">" means the first date of public announcement or disclosure by the Corporation or an Acquiring Person of facts indicating that a Person has become an Acquiring Person, which, for the purposes of this definition, shall include, without limitation, a report filed pursuant to Section 5.2 of NI 62-104 or Subsection 13(d) of the </w:t>
      </w:r>
      <w:r>
        <w:rPr>
          <w:i/>
        </w:rPr>
        <w:t>U.S.</w:t>
      </w:r>
      <w:r>
        <w:rPr/>
        <w:t xml:space="preserve"> </w:t>
      </w:r>
      <w:r>
        <w:rPr>
          <w:i/>
        </w:rPr>
        <w:t>Exchange Act</w:t>
      </w:r>
      <w:r>
        <w:rPr/>
        <w:t>, announcing or disclosing such information.</w:t>
      </w:r>
    </w:p>
    <w:p>
      <w:pPr>
        <w:pStyle w:val="TextBody"/>
        <w:bidi w:val="0"/>
        <w:spacing w:before="200" w:after="200"/>
        <w:ind w:left="1440" w:right="0" w:hanging="0"/>
        <w:jc w:val="both"/>
        <w:rPr/>
      </w:pPr>
      <w:r>
        <w:rPr/>
        <w:t>(hhh) "</w:t>
      </w:r>
      <w:r>
        <w:rPr>
          <w:b/>
        </w:rPr>
        <w:t>Subsidiary</w:t>
      </w:r>
      <w:r>
        <w:rPr/>
        <w:t>" of a Person means any other Person that is controlled by such first Person.</w:t>
      </w:r>
    </w:p>
    <w:p>
      <w:pPr>
        <w:pStyle w:val="TextBody"/>
        <w:bidi w:val="0"/>
        <w:spacing w:before="200" w:after="200"/>
        <w:ind w:left="1440" w:right="0" w:hanging="0"/>
        <w:jc w:val="both"/>
        <w:rPr/>
      </w:pPr>
      <w:r>
        <w:rPr/>
        <w:t>(iii) "</w:t>
      </w:r>
      <w:r>
        <w:rPr>
          <w:b/>
        </w:rPr>
        <w:t>Take-over Bid</w:t>
      </w:r>
      <w:r>
        <w:rPr/>
        <w:t>" means an Offer to Acquire Voting Shares and/or Convertible Securities if, assuming that the Voting Shares and/or Convertible Securities subject to the Offer to Acquire are acquired and assuming they are Beneficially Owned at the date of such Offer to Acquire by the Person making such Offer to Acquire, such Voting Shares (including Voting Shares that may be acquired upon conversion of the Convertible Securities), together with the Offeror's Securities, constitute in the aggregate 20% or more of the then outstanding Voting Shares at the date of the Offer to Acquire.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5" w:name="page_20"/>
      <w:bookmarkEnd w:id="35"/>
      <w:r>
        <w:rPr/>
        <w:t>(jjj) "</w:t>
      </w:r>
      <w:r>
        <w:rPr>
          <w:b/>
        </w:rPr>
        <w:t>Trading Day</w:t>
      </w:r>
      <w:r>
        <w:rPr/>
        <w:t>", when used with respect to any securities, means a day on which the principal Canadian or United States securities exchange (as determined by the Board of Directors) on which such securities are listed or admitted to trading is open for the transaction of business or, if the securities are not listed or admitted to trading on any Canadian or United States securities exchange, a Business Day.</w:t>
      </w:r>
    </w:p>
    <w:p>
      <w:pPr>
        <w:pStyle w:val="TextBody"/>
        <w:bidi w:val="0"/>
        <w:spacing w:before="200" w:after="200"/>
        <w:ind w:left="1440" w:right="0" w:hanging="0"/>
        <w:jc w:val="both"/>
        <w:rPr/>
      </w:pPr>
      <w:r>
        <w:rPr/>
        <w:t>(kkk) "</w:t>
      </w:r>
      <w:r>
        <w:rPr>
          <w:b/>
        </w:rPr>
        <w:t>Trust Agreement</w:t>
      </w:r>
      <w:r>
        <w:rPr/>
        <w:t>" has the meaning ascribed thereto in Subsection 3.2(c).</w:t>
      </w:r>
    </w:p>
    <w:p>
      <w:pPr>
        <w:pStyle w:val="TextBody"/>
        <w:bidi w:val="0"/>
        <w:spacing w:before="200" w:after="200"/>
        <w:ind w:left="1440" w:right="0" w:hanging="0"/>
        <w:jc w:val="both"/>
        <w:rPr/>
      </w:pPr>
      <w:r>
        <w:rPr/>
        <w:t>(lll) "</w:t>
      </w:r>
      <w:r>
        <w:rPr>
          <w:b/>
        </w:rPr>
        <w:t>Trust</w:t>
      </w:r>
      <w:r>
        <w:rPr/>
        <w:t>" has the meaning ascribed thereto in Subsection 3.2(c).</w:t>
      </w:r>
    </w:p>
    <w:p>
      <w:pPr>
        <w:pStyle w:val="TextBody"/>
        <w:bidi w:val="0"/>
        <w:spacing w:before="200" w:after="200"/>
        <w:ind w:left="1440" w:right="0" w:hanging="0"/>
        <w:jc w:val="both"/>
        <w:rPr/>
      </w:pPr>
      <w:r>
        <w:rPr/>
        <w:t>(mmm) "</w:t>
      </w:r>
      <w:r>
        <w:rPr>
          <w:b/>
        </w:rPr>
        <w:t>U.S. - Canadian Exchange Rate</w:t>
      </w:r>
      <w:r>
        <w:rPr/>
        <w:t>" on any date means:</w:t>
      </w:r>
    </w:p>
    <w:p>
      <w:pPr>
        <w:pStyle w:val="TextBody"/>
        <w:bidi w:val="0"/>
        <w:spacing w:before="200" w:after="200"/>
        <w:ind w:left="2160" w:right="0" w:hanging="0"/>
        <w:jc w:val="both"/>
        <w:rPr/>
      </w:pPr>
      <w:r>
        <w:rPr/>
        <w:t>(i) if on such date the Bank of Canada sets a daily average rate of exchange for the conversion of one United States dollar into Canadian dollars, such rate; and</w:t>
      </w:r>
    </w:p>
    <w:p>
      <w:pPr>
        <w:pStyle w:val="TextBody"/>
        <w:bidi w:val="0"/>
        <w:spacing w:before="200" w:after="200"/>
        <w:ind w:left="2160" w:right="0" w:hanging="0"/>
        <w:jc w:val="both"/>
        <w:rPr/>
      </w:pPr>
      <w:r>
        <w:rPr/>
        <w:t>(ii) in any other case, the rate on such date for the conversion of one United States dollar into Canadian dollars which is calculated in the manner which shall be determined by the Board of Directors from time to time acting in good faith.</w:t>
      </w:r>
    </w:p>
    <w:p>
      <w:pPr>
        <w:pStyle w:val="TextBody"/>
        <w:bidi w:val="0"/>
        <w:spacing w:before="200" w:after="200"/>
        <w:ind w:left="1440" w:right="0" w:hanging="0"/>
        <w:jc w:val="both"/>
        <w:rPr/>
      </w:pPr>
      <w:r>
        <w:rPr/>
        <w:t>(nnn) "</w:t>
      </w:r>
      <w:r>
        <w:rPr>
          <w:b/>
          <w:i/>
        </w:rPr>
        <w:t>U.S. Exchange Act</w:t>
      </w:r>
      <w:r>
        <w:rPr/>
        <w:t xml:space="preserve">" means the </w:t>
      </w:r>
      <w:r>
        <w:rPr>
          <w:i/>
        </w:rPr>
        <w:t>United States Securities Exchange Act of 1934</w:t>
      </w:r>
      <w:r>
        <w:rPr/>
        <w:t>, as amended, and the rules and regulations thereunder as from time to time in effect, and any comparable or successor laws, rules or regulations thereto.</w:t>
      </w:r>
    </w:p>
    <w:p>
      <w:pPr>
        <w:pStyle w:val="TextBody"/>
        <w:bidi w:val="0"/>
        <w:spacing w:before="200" w:after="200"/>
        <w:ind w:left="1440" w:right="0" w:hanging="0"/>
        <w:jc w:val="both"/>
        <w:rPr/>
      </w:pPr>
      <w:r>
        <w:rPr/>
        <w:t>(ooo) "</w:t>
      </w:r>
      <w:r>
        <w:rPr>
          <w:b/>
          <w:i/>
        </w:rPr>
        <w:t>U.S. Securities Act</w:t>
      </w:r>
      <w:r>
        <w:rPr/>
        <w:t xml:space="preserve">" means the </w:t>
      </w:r>
      <w:r>
        <w:rPr>
          <w:i/>
        </w:rPr>
        <w:t>United States Securities Act of 1933</w:t>
      </w:r>
      <w:r>
        <w:rPr/>
        <w:t>, as amended, and the rules and regulations thereunder, and any comparable or successor laws, rules or regulations thereto.</w:t>
      </w:r>
    </w:p>
    <w:p>
      <w:pPr>
        <w:pStyle w:val="TextBody"/>
        <w:bidi w:val="0"/>
        <w:spacing w:before="200" w:after="200"/>
        <w:ind w:left="1440" w:right="0" w:hanging="0"/>
        <w:jc w:val="both"/>
        <w:rPr/>
      </w:pPr>
      <w:r>
        <w:rPr/>
        <w:t>(ppp) "</w:t>
      </w:r>
      <w:r>
        <w:rPr>
          <w:b/>
        </w:rPr>
        <w:t>Voting Share Reduction</w:t>
      </w:r>
      <w:r>
        <w:rPr/>
        <w:t>" means an acquisition or a redemption by the Corporation of Voting Shares and/or Convertible Securities which, by reducing the number of then outstanding Voting Shares and/or Convertible Securities of a class or series, increases the proportionate percentage of Voting Shares Beneficially Owned by any Person.</w:t>
      </w:r>
    </w:p>
    <w:p>
      <w:pPr>
        <w:pStyle w:val="TextBody"/>
        <w:bidi w:val="0"/>
        <w:spacing w:before="200" w:after="200"/>
        <w:ind w:left="1440" w:right="0" w:hanging="0"/>
        <w:jc w:val="both"/>
        <w:rPr/>
      </w:pPr>
      <w:r>
        <w:rPr/>
        <w:t>(qqq) "</w:t>
      </w:r>
      <w:r>
        <w:rPr>
          <w:b/>
        </w:rPr>
        <w:t>Voting Shares</w:t>
      </w:r>
      <w:r>
        <w:rPr/>
        <w:t>" means, collectively, the Common Shares and any other securities in the capital of the Corporation, the holders of which are entitled to vote generally in the election of directors of the Board of Directors and "</w:t>
      </w:r>
      <w:r>
        <w:rPr>
          <w:b/>
        </w:rPr>
        <w:t>Voting Shares</w:t>
      </w:r>
      <w:r>
        <w:rPr/>
        <w:t>", when used with reference to any Person other than the Corporation, means common shares (or equivalent) of such other Person and any other securities the holders of which are entitled to vote generally in the election of the directors or to otherwise affect control of such other Person.</w:t>
      </w:r>
    </w:p>
    <w:p>
      <w:pPr>
        <w:pStyle w:val="TextBody"/>
        <w:bidi w:val="0"/>
        <w:spacing w:before="200" w:after="200"/>
        <w:ind w:left="720" w:right="0" w:hanging="0"/>
        <w:jc w:val="both"/>
        <w:rPr/>
      </w:pPr>
      <w:r>
        <w:rPr>
          <w:b/>
        </w:rPr>
        <w:t>1.2</w:t>
      </w:r>
      <w:r>
        <w:rPr/>
        <w:t> </w:t>
      </w:r>
      <w:r>
        <w:rPr>
          <w:b/>
        </w:rPr>
        <w:t>Currency</w:t>
      </w:r>
    </w:p>
    <w:p>
      <w:pPr>
        <w:pStyle w:val="TextBody"/>
        <w:bidi w:val="0"/>
        <w:spacing w:before="200" w:after="200"/>
        <w:jc w:val="both"/>
        <w:rPr/>
      </w:pPr>
      <w:r>
        <w:rPr/>
        <w:t>All sums of money which are referred to in this Agreement are expressed in lawful money of Canada, unless otherwise specified.</w:t>
      </w:r>
    </w:p>
    <w:p>
      <w:pPr>
        <w:pStyle w:val="TextBody"/>
        <w:bidi w:val="0"/>
        <w:spacing w:before="200" w:after="200"/>
        <w:ind w:left="720" w:right="0" w:hanging="0"/>
        <w:jc w:val="both"/>
        <w:rPr/>
      </w:pPr>
      <w:r>
        <w:rPr>
          <w:b/>
        </w:rPr>
        <w:t>1.3</w:t>
      </w:r>
      <w:r>
        <w:rPr/>
        <w:t> </w:t>
      </w:r>
      <w:r>
        <w:rPr>
          <w:b/>
        </w:rPr>
        <w:t>Number and Gender</w:t>
      </w:r>
    </w:p>
    <w:p>
      <w:pPr>
        <w:pStyle w:val="TextBody"/>
        <w:bidi w:val="0"/>
        <w:spacing w:before="200" w:after="200"/>
        <w:jc w:val="both"/>
        <w:rPr/>
      </w:pPr>
      <w:r>
        <w:rPr/>
        <w:t xml:space="preserve">Wherever the context requires, terms (including defined terms) used herein importing the singular number only include the plural and </w:t>
      </w:r>
      <w:r>
        <w:rPr>
          <w:i/>
        </w:rPr>
        <w:t xml:space="preserve">vice versa </w:t>
      </w:r>
      <w:r>
        <w:rPr/>
        <w:t>and words importing any one gender include all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36" w:name="page_211"/>
      <w:bookmarkEnd w:id="36"/>
      <w:r>
        <w:rPr>
          <w:b/>
        </w:rPr>
        <w:t>1.4</w:t>
      </w:r>
      <w:r>
        <w:rPr/>
        <w:t> </w:t>
      </w:r>
      <w:r>
        <w:rPr>
          <w:b/>
        </w:rPr>
        <w:t>Sections</w:t>
      </w:r>
    </w:p>
    <w:p>
      <w:pPr>
        <w:pStyle w:val="TextBody"/>
        <w:bidi w:val="0"/>
        <w:spacing w:before="200" w:after="200"/>
        <w:jc w:val="both"/>
        <w:rPr/>
      </w:pPr>
      <w:r>
        <w:rPr/>
        <w:t>The division of this Agreement into Articles, Sections, Subsections and Schedules are for convenience of reference only and shall not affect the construction or interpretation of this Agreement. The terms this "</w:t>
      </w:r>
      <w:r>
        <w:rPr>
          <w:b/>
        </w:rPr>
        <w:t>Agreement</w:t>
      </w:r>
      <w:r>
        <w:rPr/>
        <w:t>", "</w:t>
      </w:r>
      <w:r>
        <w:rPr>
          <w:b/>
        </w:rPr>
        <w:t>hereunder</w:t>
      </w:r>
      <w:r>
        <w:rPr/>
        <w:t>", "</w:t>
      </w:r>
      <w:r>
        <w:rPr>
          <w:b/>
        </w:rPr>
        <w:t>hereof</w:t>
      </w:r>
      <w:r>
        <w:rPr/>
        <w:t>" and similar expressions refer to this Agreement as amended or supplemented from time to time and not to any particular Article, Section, Subsection or Schedule or other portion hereof and include any agreement or instrument supplemental or ancillary hereto. Unless something in the subject matter or context is inconsistent therewith, references herein to Articles, Sections, Subsections and Schedules are to Articles, Sections, Subsections and Schedules of or to this Agreement.</w:t>
      </w:r>
    </w:p>
    <w:p>
      <w:pPr>
        <w:pStyle w:val="TextBody"/>
        <w:bidi w:val="0"/>
        <w:spacing w:before="200" w:after="200"/>
        <w:ind w:left="720" w:right="0" w:hanging="0"/>
        <w:jc w:val="both"/>
        <w:rPr/>
      </w:pPr>
      <w:r>
        <w:rPr>
          <w:b/>
        </w:rPr>
        <w:t>1.5</w:t>
      </w:r>
      <w:r>
        <w:rPr/>
        <w:t> </w:t>
      </w:r>
      <w:r>
        <w:rPr>
          <w:b/>
        </w:rPr>
        <w:t>Statutory References</w:t>
      </w:r>
    </w:p>
    <w:p>
      <w:pPr>
        <w:pStyle w:val="TextBody"/>
        <w:bidi w:val="0"/>
        <w:spacing w:before="200" w:after="200"/>
        <w:jc w:val="both"/>
        <w:rPr/>
      </w:pPr>
      <w:r>
        <w:rPr/>
        <w:t>Unless the context otherwise requires, any reference to a specific section, subsection, clause or rule of any act or regulation shall be deemed to refer to the same as it may be amended, re-enacted or replaced or, if repealed and there shall be no replacement therefor, to the same as it is in effect on the date of this Agreement.</w:t>
      </w:r>
    </w:p>
    <w:p>
      <w:pPr>
        <w:pStyle w:val="TextBody"/>
        <w:bidi w:val="0"/>
        <w:spacing w:before="200" w:after="200"/>
        <w:ind w:left="720" w:right="0" w:hanging="0"/>
        <w:jc w:val="both"/>
        <w:rPr/>
      </w:pPr>
      <w:r>
        <w:rPr>
          <w:b/>
        </w:rPr>
        <w:t>1.6</w:t>
      </w:r>
      <w:r>
        <w:rPr/>
        <w:t> </w:t>
      </w:r>
      <w:r>
        <w:rPr>
          <w:b/>
        </w:rPr>
        <w:t>Calculation of Voting Shares Beneficially Owned</w:t>
      </w:r>
    </w:p>
    <w:p>
      <w:pPr>
        <w:pStyle w:val="TextBody"/>
        <w:bidi w:val="0"/>
        <w:spacing w:before="200" w:after="200"/>
        <w:jc w:val="both"/>
        <w:rPr/>
      </w:pPr>
      <w:r>
        <w:rPr/>
        <w:t>For the purposes of this Agreement, the percentage of Voting Shares Beneficially Owned by any Person, shall be and be deemed to be the product determined by the formula:</w:t>
      </w:r>
    </w:p>
    <w:p>
      <w:pPr>
        <w:pStyle w:val="TextBody"/>
        <w:bidi w:val="0"/>
        <w:spacing w:before="200" w:after="200"/>
        <w:jc w:val="center"/>
        <w:rPr/>
      </w:pPr>
      <w:r>
        <w:rPr/>
        <w:drawing>
          <wp:inline distT="0" distB="0" distL="0" distR="0">
            <wp:extent cx="11715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485775"/>
                    </a:xfrm>
                    <a:prstGeom prst="rect">
                      <a:avLst/>
                    </a:prstGeom>
                  </pic:spPr>
                </pic:pic>
              </a:graphicData>
            </a:graphic>
          </wp:inline>
        </w:drawing>
      </w:r>
    </w:p>
    <w:p>
      <w:pPr>
        <w:pStyle w:val="TextBody"/>
        <w:bidi w:val="0"/>
        <w:spacing w:before="200" w:after="200"/>
        <w:ind w:left="720" w:right="0" w:hanging="0"/>
        <w:jc w:val="both"/>
        <w:rPr/>
      </w:pPr>
      <w:r>
        <w:rPr/>
        <w:t>where:</w:t>
      </w:r>
    </w:p>
    <w:p>
      <w:pPr>
        <w:pStyle w:val="TextBody"/>
        <w:bidi w:val="0"/>
        <w:spacing w:before="200" w:after="200"/>
        <w:ind w:left="2160" w:right="0" w:hanging="0"/>
        <w:jc w:val="both"/>
        <w:rPr/>
      </w:pPr>
      <w:r>
        <w:rPr/>
        <w:t>A  = the number of votes for the election of all directors generally attaching to the Voting Shares Beneficially Owned by such Person; and</w:t>
      </w:r>
    </w:p>
    <w:p>
      <w:pPr>
        <w:pStyle w:val="TextBody"/>
        <w:bidi w:val="0"/>
        <w:spacing w:before="200" w:after="200"/>
        <w:ind w:left="2160" w:right="0" w:hanging="0"/>
        <w:jc w:val="both"/>
        <w:rPr/>
      </w:pPr>
      <w:r>
        <w:rPr/>
        <w:t>B  = the number of votes for the election of all directors generally attaching to all outstanding Voting Shares.</w:t>
      </w:r>
    </w:p>
    <w:p>
      <w:pPr>
        <w:pStyle w:val="TextBody"/>
        <w:bidi w:val="0"/>
        <w:spacing w:before="200" w:after="200"/>
        <w:jc w:val="both"/>
        <w:rPr/>
      </w:pPr>
      <w:r>
        <w:rPr/>
        <w:t>Where any Person is deemed to Beneficially Own unissued Voting Shares, such Voting Shares shall be deemed to be outstanding for the purpose of calculating the percentage of Voting Shares Beneficially Owned by such Person.</w:t>
      </w:r>
    </w:p>
    <w:p>
      <w:pPr>
        <w:pStyle w:val="TextBody"/>
        <w:bidi w:val="0"/>
        <w:spacing w:before="200" w:after="200"/>
        <w:ind w:left="720" w:right="0" w:hanging="0"/>
        <w:jc w:val="both"/>
        <w:rPr/>
      </w:pPr>
      <w:r>
        <w:rPr>
          <w:b/>
        </w:rPr>
        <w:t>1.7</w:t>
      </w:r>
      <w:r>
        <w:rPr/>
        <w:t> </w:t>
      </w:r>
      <w:r>
        <w:rPr>
          <w:b/>
        </w:rPr>
        <w:t>Acting Jointly or in Concert</w:t>
      </w:r>
    </w:p>
    <w:p>
      <w:pPr>
        <w:pStyle w:val="TextBody"/>
        <w:bidi w:val="0"/>
        <w:spacing w:before="200" w:after="200"/>
        <w:jc w:val="both"/>
        <w:rPr/>
      </w:pPr>
      <w:r>
        <w:rPr/>
        <w:t>For the purposes of this Agreement, a Person is acting jointly or in concert with every Person who, as a result of any agreement, commitment or understanding, whether formal or informal and whether or not in writing, with the first Person or any Affiliate thereof, acquires or offers to acquire Voting Shares and/or Convertible Securities (other than customary agreements with and between underwriters and/or banking group members and/or selling group members with respect to a public offering or private placement of securities or pledges of securities in the ordinary course of business).</w:t>
      </w:r>
    </w:p>
    <w:p>
      <w:pPr>
        <w:pStyle w:val="TextBody"/>
        <w:bidi w:val="0"/>
        <w:spacing w:before="200" w:after="200"/>
        <w:ind w:left="720" w:right="0" w:hanging="0"/>
        <w:jc w:val="both"/>
        <w:rPr/>
      </w:pPr>
      <w:r>
        <w:rPr>
          <w:b/>
        </w:rPr>
        <w:t>1.8</w:t>
      </w:r>
      <w:r>
        <w:rPr/>
        <w:t> </w:t>
      </w:r>
      <w:r>
        <w:rPr>
          <w:b/>
        </w:rPr>
        <w:t>Generally Accepted Accounting Principles</w:t>
      </w:r>
    </w:p>
    <w:p>
      <w:pPr>
        <w:pStyle w:val="TextBody"/>
        <w:bidi w:val="0"/>
        <w:spacing w:before="200" w:after="200"/>
        <w:jc w:val="both"/>
        <w:rPr/>
      </w:pPr>
      <w:r>
        <w:rPr/>
        <w:t>Wherever in this Agreement reference is made to generally accepted accounting principles, such reference shall be deemed to be the recommendations at the relevant time of the Canadian Institute of Chartered Accountants, or any successor institute, applicable on a consolidated basis (unless otherwise specifically provided herein to be applicable on an unconsolidated basis) as at the date on which a calculation is made or required to be made in accordance with generally accepted accounting principles. Where the character or amount of any asset or liability or item of revenue or expense is required to be determined, or any consolidation or other accounting computation is required to be made for the purpose of this Agreement or any document, such determination or calculation shall, to the extent applicable and except as otherwise specified herein or as otherwise agreed in writing by the parties, be made in accordance with generally accepted accounting principles applied on a consistent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37" w:name="page_22"/>
      <w:bookmarkEnd w:id="37"/>
      <w:r>
        <w:rPr>
          <w:b/>
        </w:rPr>
        <w:t>ARTICLE 2</w:t>
      </w:r>
      <w:r>
        <w:rPr/>
        <w:br/>
      </w:r>
      <w:r>
        <w:rPr>
          <w:b/>
        </w:rPr>
        <w:t>THE RIGHTS</w:t>
      </w:r>
    </w:p>
    <w:p>
      <w:pPr>
        <w:pStyle w:val="TextBody"/>
        <w:bidi w:val="0"/>
        <w:spacing w:before="200" w:after="200"/>
        <w:ind w:left="720" w:right="0" w:hanging="0"/>
        <w:jc w:val="both"/>
        <w:rPr/>
      </w:pPr>
      <w:r>
        <w:rPr>
          <w:b/>
        </w:rPr>
        <w:t>2.1</w:t>
      </w:r>
      <w:r>
        <w:rPr/>
        <w:t> </w:t>
      </w:r>
      <w:r>
        <w:rPr>
          <w:b/>
        </w:rPr>
        <w:t>Issuance of Rights; Legend on Share Certificates</w:t>
      </w:r>
    </w:p>
    <w:p>
      <w:pPr>
        <w:pStyle w:val="TextBody"/>
        <w:bidi w:val="0"/>
        <w:spacing w:before="200" w:after="200"/>
        <w:ind w:left="1440" w:right="0" w:hanging="0"/>
        <w:jc w:val="both"/>
        <w:rPr/>
      </w:pPr>
      <w:r>
        <w:rPr/>
        <w:t>(a) One Right shall be issued in respect of each Voting Share issued and outstanding at the Record Time and one Right shall be issued in respect of each Voting Share issued after the Record Time and prior to the earlier of the Separation Time and the Expiration Time.</w:t>
      </w:r>
    </w:p>
    <w:p>
      <w:pPr>
        <w:pStyle w:val="TextBody"/>
        <w:bidi w:val="0"/>
        <w:spacing w:before="200" w:after="200"/>
        <w:ind w:left="1440" w:right="0" w:hanging="0"/>
        <w:jc w:val="both"/>
        <w:rPr/>
      </w:pPr>
      <w:r>
        <w:rPr/>
        <w:t>(b) Certificates representing Voting Shares which are issued prior to the earlier of the Separation Time and the Expiration Time shall also evidence one Right for each Voting Share represented thereby and shall have impressed on, printed on, written on or otherwise affixed to them, after the Effective Date a legend in a form substantially to the following effect:</w:t>
      </w:r>
    </w:p>
    <w:p>
      <w:pPr>
        <w:pStyle w:val="TextBody"/>
        <w:bidi w:val="0"/>
        <w:spacing w:before="200" w:after="200"/>
        <w:ind w:left="2160" w:right="2160" w:hanging="0"/>
        <w:jc w:val="both"/>
        <w:rPr/>
      </w:pPr>
      <w:r>
        <w:rPr/>
        <w:t xml:space="preserve">"Until the earlier of the Separation Time and the Expiration Time (as both such terms are defined in the Shareholder Rights Agreement referred to below), this certificate also evidences certain rights of the holder as set forth in an Shareholder Rights Plan Agreement dated as of August 10, 2026 between Sphere 3D Corp. (the "Corporation") and TSX Trust Company, as Rights Agent, as such may be supplemented and amended from time to time (the "Shareholder Rights Agreement"), the terms of which are incorporated herein by reference, and a copy of which is on file at the principal executive offices of the Corporation, is available for viewing on the SEDAR+ website at </w:t>
      </w:r>
      <w:r>
        <w:rPr>
          <w:color w:val="0000FF"/>
          <w:u w:val="single"/>
        </w:rPr>
        <w:t>www.sedarplus.ca</w:t>
      </w:r>
      <w:r>
        <w:rPr>
          <w:color w:val="0000FF"/>
        </w:rPr>
        <w:t> </w:t>
      </w:r>
      <w:r>
        <w:rPr/>
        <w:t xml:space="preserve">and the EDGAR website at </w:t>
      </w:r>
      <w:r>
        <w:rPr>
          <w:color w:val="0000FF"/>
          <w:u w:val="single"/>
        </w:rPr>
        <w:t>www.sec.gov/edgar</w:t>
      </w:r>
      <w:r>
        <w:rPr>
          <w:color w:val="000000"/>
        </w:rPr>
        <w:t>,</w:t>
      </w:r>
      <w:r>
        <w:rPr/>
        <w:t xml:space="preserve"> and is available to the holder upon demand without charge. Under certain circumstances, as set forth in the Shareholder Rights Agreement, the rights may be amended, may be redeemed, may expire, may become null and void or may be evidenced by separate certificates and no longer evidenced by this certificate."</w:t>
      </w:r>
    </w:p>
    <w:p>
      <w:pPr>
        <w:pStyle w:val="TextBody"/>
        <w:bidi w:val="0"/>
        <w:spacing w:before="200" w:after="200"/>
        <w:ind w:left="1440" w:right="0" w:hanging="0"/>
        <w:jc w:val="both"/>
        <w:rPr/>
      </w:pPr>
      <w:r>
        <w:rPr/>
        <w:t>Notwithstanding the foregoing, until the earlier of the Separation Time and the Expiration Time, certificates representing Voting Shares shall also evidence one Right for each Voting Share evidenced thereby, notwithstanding the absence of the foregoing legend.</w:t>
      </w:r>
    </w:p>
    <w:p>
      <w:pPr>
        <w:pStyle w:val="TextBody"/>
        <w:bidi w:val="0"/>
        <w:spacing w:before="200" w:after="200"/>
        <w:ind w:left="1440" w:right="0" w:hanging="0"/>
        <w:jc w:val="both"/>
        <w:rPr/>
      </w:pPr>
      <w:r>
        <w:rPr/>
        <w:t>Failure to legend any certificate representing Voting Shares shall not affect the validity of this Agreement or the Rights issued hereunder.</w:t>
      </w:r>
    </w:p>
    <w:p>
      <w:pPr>
        <w:pStyle w:val="TextBody"/>
        <w:bidi w:val="0"/>
        <w:spacing w:before="200" w:after="200"/>
        <w:ind w:left="1440" w:right="0" w:hanging="0"/>
        <w:jc w:val="both"/>
        <w:rPr/>
      </w:pPr>
      <w:r>
        <w:rPr/>
        <w:t>(c) Any Voting Shares issued and registered in Book Entry Form prior to the earlier of the Separation Time and the Expiration Time shall evidence, in addition to the Voting Shares, one Right for each Voting Share represented thereby and the registration record of such Voting Shares shall include the foregoing legend, adapted accordingly as the Rights Agent may reasonably require.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38" w:name="page_23"/>
      <w:bookmarkEnd w:id="38"/>
      <w:r>
        <w:rPr>
          <w:b/>
        </w:rPr>
        <w:t>2.2</w:t>
      </w:r>
      <w:r>
        <w:rPr/>
        <w:t> </w:t>
      </w:r>
      <w:r>
        <w:rPr>
          <w:b/>
        </w:rPr>
        <w:t>Initial Exercise Price; Exercise of Rights; Detachment of Rights</w:t>
      </w:r>
    </w:p>
    <w:p>
      <w:pPr>
        <w:pStyle w:val="TextBody"/>
        <w:bidi w:val="0"/>
        <w:spacing w:before="200" w:after="200"/>
        <w:ind w:left="1440" w:right="0" w:hanging="0"/>
        <w:jc w:val="both"/>
        <w:rPr/>
      </w:pPr>
      <w:r>
        <w:rPr/>
        <w:t>(a) Subject to adjustment as herein set forth, including without limitation as set forth in Article 3, each Right will entitle the holder thereof, from and after the Separation Time and prior to the Expiration Time, to purchase one Common Share for the Exercise Price (which Exercise Price and number of Common Shares are subject to adjustment as set forth below). Notwithstanding any other provision of this Agreement, any Rights held by the Corporation or any of its Subsidiaries shall be null and void.</w:t>
      </w:r>
    </w:p>
    <w:p>
      <w:pPr>
        <w:pStyle w:val="TextBody"/>
        <w:bidi w:val="0"/>
        <w:spacing w:before="200" w:after="200"/>
        <w:ind w:left="1440" w:right="0" w:hanging="0"/>
        <w:jc w:val="both"/>
        <w:rPr/>
      </w:pPr>
      <w:r>
        <w:rPr/>
        <w:t>(b) Until the Separation Time:</w:t>
      </w:r>
    </w:p>
    <w:p>
      <w:pPr>
        <w:pStyle w:val="TextBody"/>
        <w:bidi w:val="0"/>
        <w:spacing w:before="200" w:after="200"/>
        <w:ind w:left="2160" w:right="0" w:hanging="0"/>
        <w:jc w:val="both"/>
        <w:rPr/>
      </w:pPr>
      <w:r>
        <w:rPr/>
        <w:t>(i) the Rights shall not be exercisable and no Right may be exercised; and</w:t>
      </w:r>
    </w:p>
    <w:p>
      <w:pPr>
        <w:pStyle w:val="TextBody"/>
        <w:bidi w:val="0"/>
        <w:spacing w:before="200" w:after="200"/>
        <w:ind w:left="2160" w:right="0" w:hanging="0"/>
        <w:jc w:val="both"/>
        <w:rPr/>
      </w:pPr>
      <w:r>
        <w:rPr/>
        <w:t>(ii) for administrative purposes, each Right will be evidenced by the certificate for the associated Voting Share registered in the name of the holder thereof (which certificate shall be deemed to represent a Rights Certificate) or by Book Entry Form registration for the associated Voting Share and will be transferable only together with, and will be transferred by a transfer of, such associated Voting Share.</w:t>
      </w:r>
    </w:p>
    <w:p>
      <w:pPr>
        <w:pStyle w:val="TextBody"/>
        <w:bidi w:val="0"/>
        <w:spacing w:before="200" w:after="200"/>
        <w:ind w:left="1440" w:right="0" w:hanging="0"/>
        <w:jc w:val="both"/>
        <w:rPr/>
      </w:pPr>
      <w:r>
        <w:rPr/>
        <w:t>(c) From and after the Separation Time and prior to the Expiration Time, the Rights may be exercised, and the registration and transfer of the Rights shall be separate from and independent of Voting Shares. Promptly following the Separation Time, the Corporation will determine whether it wishes to issue Rights Certificates or whether it will maintain the Rights in Book Entry Form. In the event that the Corporation determines to maintain Rights in Book Entry Form, it will put in place such alternative procedures as are determined necessary in consultation with the Rights Agent for the Rights to be maintained in Book Entry Form (the "</w:t>
      </w:r>
      <w:r>
        <w:rPr>
          <w:b/>
        </w:rPr>
        <w:t>Book Entry Rights Exercise Procedures</w:t>
      </w:r>
      <w:r>
        <w:rPr/>
        <w:t>"), it being hereby acknowledged that such procedures shall, to the greatest extent possible, replicate in all substantive respects the procedures set out in this Agreement with respect to the exercise of the Rights Certificates and that the procedures set out in this Agreement shall be modified only to the extent necessary, as reasonably determined by the Rights Agent, to permit the Corporation to maintain the Rights in Book Entry Form. In such event, the Book Entry Rights Exercise Procedures shall be deemed to replace the procedures set out in this Agreement with respect to the exercise of Rights and all provisions of this Agreement referring to the Rights Certificates shall be applicable to Rights registered in Book Entry Form in like manner as the Rights in certificated form.</w:t>
      </w:r>
    </w:p>
    <w:p>
      <w:pPr>
        <w:pStyle w:val="TextBody"/>
        <w:bidi w:val="0"/>
        <w:spacing w:before="200" w:after="200"/>
        <w:ind w:left="1440" w:right="0" w:hanging="0"/>
        <w:jc w:val="both"/>
        <w:rPr/>
      </w:pPr>
      <w:r>
        <w:rPr/>
        <w:t>(d) In the event that the Corporation determines to issue Rights Certificates, then promptly following the Separation Time, the Corporation will prepare or cause to be prepared and the Rights Agent will mail to each holder of record of Voting Shares as of the Separation Time and, in respect of each Convertible Security converted into Voting Shares after the Separation Time and prior to the Expiration Time, promptly after such conversion, the Corporation will prepare or cause to be prepared and the Rights Agent will mail to the holder so converting (other than a Person indicated by the Corporation in writing to be an Acquiring Person and, in respect of any Rights Beneficially Owned by such Acquiring Person which are not held of record by such Acquiring Person, the holder of record of such Rights as indicated by the Corporation in writing (a "</w:t>
      </w:r>
      <w:r>
        <w:rPr>
          <w:b/>
        </w:rPr>
        <w:t>Nominee</w:t>
      </w:r>
      <w:r>
        <w:rPr/>
        <w:t>")) at such holder's address as shown by the records of the Corporation (the Corporation hereby agreeing to furnish copies of such records to the Rights Agent for this purpose):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39" w:name="page_24"/>
      <w:bookmarkEnd w:id="39"/>
      <w:r>
        <w:rPr/>
        <w:t>(i) a Rights Certificate in substantially the form of Schedule "A" appropriately completed, representing the number of Rights held by such holder at the Separation Time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judicial or administrative order, or with any article or regulation of any self-regulatory organization, stock exchange or securities quotation system on which the Rights may from time to time be listed or traded, or to conform to usage; and</w:t>
      </w:r>
    </w:p>
    <w:p>
      <w:pPr>
        <w:pStyle w:val="TextBody"/>
        <w:bidi w:val="0"/>
        <w:spacing w:before="200" w:after="200"/>
        <w:ind w:left="2160" w:right="0" w:hanging="0"/>
        <w:jc w:val="both"/>
        <w:rPr/>
      </w:pPr>
      <w:r>
        <w:rPr/>
        <w:t>(ii) a disclosure statement prepared by the Corporation describing the Rights;</w:t>
      </w:r>
    </w:p>
    <w:p>
      <w:pPr>
        <w:pStyle w:val="TextBody"/>
        <w:bidi w:val="0"/>
        <w:spacing w:before="200" w:after="200"/>
        <w:ind w:left="1440" w:right="0" w:hanging="0"/>
        <w:jc w:val="both"/>
        <w:rPr/>
      </w:pPr>
      <w:r>
        <w:rPr/>
        <w:t>provided that a Nominee shall be sent the materials provided for in Subsections 2.2(d)(i) and 2.2(d)(ii) only in respect of all Voting Shares held of record by it which are not Beneficially Owned by an Acquiring Person as indicated to the Rights Agent by the Corporation in writing, and the Corporation may require any Nominee or suspected Nominee to provide such information and documentation as the Corporation deems necessary or appropriate for such purpose.</w:t>
      </w:r>
    </w:p>
    <w:p>
      <w:pPr>
        <w:pStyle w:val="TextBody"/>
        <w:bidi w:val="0"/>
        <w:spacing w:before="200" w:after="200"/>
        <w:ind w:left="1440" w:right="0" w:hanging="0"/>
        <w:jc w:val="both"/>
        <w:rPr/>
      </w:pPr>
      <w:r>
        <w:rPr/>
        <w:t>(e) In the event that the Corporation determines to issue Rights Certificates, Rights may be exercised in whole or in part on any Business Day after the Separation Time and prior to the Expiration Time by submitting to the Rights Agent, at its principal office in Toronto, Ontario:</w:t>
      </w:r>
    </w:p>
    <w:p>
      <w:pPr>
        <w:pStyle w:val="TextBody"/>
        <w:bidi w:val="0"/>
        <w:spacing w:before="200" w:after="200"/>
        <w:ind w:left="2160" w:right="0" w:hanging="0"/>
        <w:jc w:val="both"/>
        <w:rPr/>
      </w:pPr>
      <w:r>
        <w:rPr/>
        <w:t>(i) the Rights Certificate evidencing such Rights;</w:t>
      </w:r>
    </w:p>
    <w:p>
      <w:pPr>
        <w:pStyle w:val="TextBody"/>
        <w:bidi w:val="0"/>
        <w:spacing w:before="200" w:after="200"/>
        <w:ind w:left="2160" w:right="0" w:hanging="0"/>
        <w:jc w:val="both"/>
        <w:rPr/>
      </w:pPr>
      <w:r>
        <w:rPr/>
        <w:t>(ii) an election to exercise (an "</w:t>
      </w:r>
      <w:r>
        <w:rPr>
          <w:b/>
        </w:rPr>
        <w:t>Election to Exercise</w:t>
      </w:r>
      <w:r>
        <w:rPr/>
        <w:t>"), substantially in the form attached to the Rights Certificate duly completed, and executed by the holder or his executors or administrators or other personal representatives or his or their legal attorney duly appointed by an instrument in writing, and in a manner acceptable to the Rights Agent; and</w:t>
      </w:r>
    </w:p>
    <w:p>
      <w:pPr>
        <w:pStyle w:val="TextBody"/>
        <w:bidi w:val="0"/>
        <w:spacing w:before="200" w:after="200"/>
        <w:ind w:left="2160" w:right="0" w:hanging="0"/>
        <w:jc w:val="both"/>
        <w:rPr/>
      </w:pPr>
      <w:r>
        <w:rPr/>
        <w:t>(iii) payment by certified cheque, banker's draft, money order or wire transfer payable to the order of the Corporation,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pStyle w:val="TextBody"/>
        <w:bidi w:val="0"/>
        <w:spacing w:before="200" w:after="200"/>
        <w:ind w:left="1440" w:right="0" w:hanging="0"/>
        <w:jc w:val="both"/>
        <w:rPr/>
      </w:pPr>
      <w:r>
        <w:rPr/>
        <w:t>(f) In the event that the Corporation determines to issue Rights Certificates, then upon receipt of a Rights Certificate, together with an appropriately completed and duly executed Election to Exercise (which does not indicate that such Right is null and void as provided by Subsection 3.1(b)) and payment as set forth in Subsection 2.2(e), the Rights Agent (unless otherwise instructed in writing by the Corporation) will thereupon promptly:</w:t>
      </w:r>
    </w:p>
    <w:p>
      <w:pPr>
        <w:pStyle w:val="TextBody"/>
        <w:bidi w:val="0"/>
        <w:spacing w:before="200" w:after="200"/>
        <w:ind w:left="2160" w:right="0" w:hanging="0"/>
        <w:jc w:val="both"/>
        <w:rPr/>
      </w:pPr>
      <w:r>
        <w:rPr/>
        <w:t>(i) requisition from the transfer agent of the Common Shares certificates representing the number of Common Shares to be purchased (the Corporation hereby irrevocably authorizing its transfer agent to comply with all such requisitions);</w:t>
      </w:r>
    </w:p>
    <w:p>
      <w:pPr>
        <w:pStyle w:val="TextBody"/>
        <w:bidi w:val="0"/>
        <w:spacing w:before="200" w:after="200"/>
        <w:ind w:left="2160" w:right="0" w:hanging="0"/>
        <w:jc w:val="both"/>
        <w:rPr/>
      </w:pPr>
      <w:r>
        <w:rPr/>
        <w:t>(ii) after receipt of such Common Share certificates, deliver such certificates to, or to the order of, the registered holder of such Rights Certificate, registered in such name or names as may be designated by such holder in the Election to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40" w:name="page_25"/>
      <w:bookmarkEnd w:id="40"/>
      <w:r>
        <w:rPr/>
        <w:t>(iii) when appropriate, under Section 5.5, requisition from the Corporation the amount of cash, if any, to be paid in lieu of issuing fractional Common Shares;</w:t>
      </w:r>
    </w:p>
    <w:p>
      <w:pPr>
        <w:pStyle w:val="TextBody"/>
        <w:bidi w:val="0"/>
        <w:spacing w:before="200" w:after="200"/>
        <w:ind w:left="2160" w:right="0" w:hanging="0"/>
        <w:jc w:val="both"/>
        <w:rPr/>
      </w:pPr>
      <w:r>
        <w:rPr/>
        <w:t>(iv) when appropriate, under Section 5.5, after receipt of the cash referred to in Subsection 2.2(f)(iii), deliver such cash to, or to the order of, the registered holder of the Rights Certificate; and</w:t>
      </w:r>
    </w:p>
    <w:p>
      <w:pPr>
        <w:pStyle w:val="TextBody"/>
        <w:bidi w:val="0"/>
        <w:spacing w:before="200" w:after="200"/>
        <w:ind w:left="2160" w:right="0" w:hanging="0"/>
        <w:jc w:val="both"/>
        <w:rPr/>
      </w:pPr>
      <w:r>
        <w:rPr/>
        <w:t>(v) tender to the Corporation all payments received on exercise of the Rights.</w:t>
      </w:r>
    </w:p>
    <w:p>
      <w:pPr>
        <w:pStyle w:val="TextBody"/>
        <w:bidi w:val="0"/>
        <w:spacing w:before="200" w:after="200"/>
        <w:ind w:left="1440" w:right="0" w:hanging="0"/>
        <w:jc w:val="both"/>
        <w:rPr/>
      </w:pPr>
      <w:r>
        <w:rPr/>
        <w:t>(g) If the holder of any Rights shall exercise less than all the Rights evidenced by such holder's Rights Certificate, a new Rights Certificate evidencing the Rights remaining unexercised will be issued by the Rights Agent to such holder or to such holder's duly authorized assigns.</w:t>
      </w:r>
    </w:p>
    <w:p>
      <w:pPr>
        <w:pStyle w:val="TextBody"/>
        <w:bidi w:val="0"/>
        <w:spacing w:before="200" w:after="200"/>
        <w:ind w:left="1440" w:right="0" w:hanging="0"/>
        <w:jc w:val="both"/>
        <w:rPr/>
      </w:pPr>
      <w:r>
        <w:rPr/>
        <w:t>(h) The Corporation covenants and agrees that it will:</w:t>
      </w:r>
    </w:p>
    <w:p>
      <w:pPr>
        <w:pStyle w:val="TextBody"/>
        <w:bidi w:val="0"/>
        <w:spacing w:before="200" w:after="200"/>
        <w:ind w:left="2160" w:right="0" w:hanging="0"/>
        <w:jc w:val="both"/>
        <w:rPr/>
      </w:pPr>
      <w:r>
        <w:rPr/>
        <w:t>(i) take all such action as may be necessary and within its power to ensure that all Common Shares delivered upon the exercise or exchange of Rights shall, at the time of delivery of the certificates for such Common Shares (subject to payment of the Exercise Price, where applicable), be duly and validly authorized, executed, issued and delivered as fully paid and non-assessable;</w:t>
      </w:r>
    </w:p>
    <w:p>
      <w:pPr>
        <w:pStyle w:val="TextBody"/>
        <w:bidi w:val="0"/>
        <w:spacing w:before="200" w:after="200"/>
        <w:ind w:left="2160" w:right="0" w:hanging="0"/>
        <w:jc w:val="both"/>
        <w:rPr/>
      </w:pPr>
      <w:r>
        <w:rPr/>
        <w:t xml:space="preserve">(ii) take all such action as may reasonably be considered to be necessary and within its power to comply with any applicable requirements of the BCA, the </w:t>
      </w:r>
      <w:r>
        <w:rPr>
          <w:i/>
        </w:rPr>
        <w:t>U.S. Exchange Act</w:t>
      </w:r>
      <w:r>
        <w:rPr/>
        <w:t xml:space="preserve">, the </w:t>
      </w:r>
      <w:r>
        <w:rPr>
          <w:i/>
        </w:rPr>
        <w:t>U.S. Securities Act</w:t>
      </w:r>
      <w:r>
        <w:rPr/>
        <w:t xml:space="preserve">, the </w:t>
      </w:r>
      <w:r>
        <w:rPr>
          <w:i/>
        </w:rPr>
        <w:t xml:space="preserve">Securities Act </w:t>
      </w:r>
      <w:r>
        <w:rPr/>
        <w:t>(Ontario) and comparable legislation of each of the other provinces and territories of Canada and states of the United States of America, or the rules and regulations thereunder or any other applicable law, rule or regulation, in connection with the issuance and delivery of the Rights, the Rights Certificates and the issuance of any Common Shares upon exercise or exchange of the Rights;</w:t>
      </w:r>
    </w:p>
    <w:p>
      <w:pPr>
        <w:pStyle w:val="TextBody"/>
        <w:bidi w:val="0"/>
        <w:spacing w:before="200" w:after="200"/>
        <w:ind w:left="2160" w:right="0" w:hanging="0"/>
        <w:jc w:val="both"/>
        <w:rPr/>
      </w:pPr>
      <w:r>
        <w:rPr/>
        <w:t>(iii) use reasonable efforts to cause all Common Shares issued upon exercise or exchange of the Rights to be listed on each Exchange;</w:t>
      </w:r>
    </w:p>
    <w:p>
      <w:pPr>
        <w:pStyle w:val="TextBody"/>
        <w:bidi w:val="0"/>
        <w:spacing w:before="200" w:after="200"/>
        <w:ind w:left="2160" w:right="0" w:hanging="0"/>
        <w:jc w:val="both"/>
        <w:rPr/>
      </w:pPr>
      <w:r>
        <w:rPr/>
        <w:t>(iv) cause to be reserved and kept available out of its authorized and unissued Common Shares, the number of Common Shares that, as provided in this Agreement, will from time to time be sufficient to permit the exercise or exchange in full of all outstanding Rights;</w:t>
      </w:r>
    </w:p>
    <w:p>
      <w:pPr>
        <w:pStyle w:val="TextBody"/>
        <w:bidi w:val="0"/>
        <w:spacing w:before="200" w:after="200"/>
        <w:ind w:left="2160" w:right="0" w:hanging="0"/>
        <w:jc w:val="both"/>
        <w:rPr/>
      </w:pPr>
      <w:r>
        <w:rPr/>
        <w:t>(v) pay when due and payable, if applicable, any and all federal, provincial, state and municipal taxes (not in the nature of income, capital gains or withholding taxes) and charges which may be payable in respect of the original issuance or delivery of the Rights Certificates or certificates for Common Shares issued upon the exercise or exchange of Rights; provided that the Corporation shall not be required to pay any transfer tax or charge which may be payable in respect of any transfer of Rights or the issuance or delivery of certificates for Common Shares issued upon the exercise or exchange of Rights, in a name other than that of the holder of the Rights being transferred or exercised or exchanged;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41" w:name="page_26"/>
      <w:bookmarkEnd w:id="41"/>
      <w:r>
        <w:rPr/>
        <w:t>(vi) after the Separation Time, except as permitted by Section 5.1 or Section 5.4, not take (or permit any Subsidiary to take) any action if at the time such action is taken it is reasonably foreseeable that such action will diminish substantially or otherwise eliminate the benefits intended to be afforded by the Rights; and</w:t>
      </w:r>
    </w:p>
    <w:p>
      <w:pPr>
        <w:pStyle w:val="TextBody"/>
        <w:bidi w:val="0"/>
        <w:spacing w:before="200" w:after="200"/>
        <w:ind w:left="2160" w:right="0" w:hanging="0"/>
        <w:jc w:val="both"/>
        <w:rPr/>
      </w:pPr>
      <w:r>
        <w:rPr/>
        <w:t>(vii) promptly following the Separation Time and following any subsequent adjustment to the Exercise Price pursuant to this Agreement, deliver to the Rights Agent an officer's certificate, executed by an officer of the Corporation, setting forth the Exercise Price then in effect and, where applicable, the basis upon which such Exercise Price was determined or adjusted, and the Rights Agent shall be entitled to rely conclusively upon any such officer's certificate and shall have no duty or responsibility to independently calculate, determine or verify the Exercise Price.</w:t>
      </w:r>
    </w:p>
    <w:p>
      <w:pPr>
        <w:pStyle w:val="TextBody"/>
        <w:bidi w:val="0"/>
        <w:spacing w:before="200" w:after="200"/>
        <w:ind w:left="720" w:right="0" w:hanging="0"/>
        <w:jc w:val="both"/>
        <w:rPr/>
      </w:pPr>
      <w:r>
        <w:rPr>
          <w:b/>
        </w:rPr>
        <w:t>2.3</w:t>
      </w:r>
      <w:r>
        <w:rPr/>
        <w:t> </w:t>
      </w:r>
      <w:r>
        <w:rPr>
          <w:b/>
        </w:rPr>
        <w:t>Adjustments to Exercise Price; Number of Rights</w:t>
      </w:r>
    </w:p>
    <w:p>
      <w:pPr>
        <w:pStyle w:val="TextBody"/>
        <w:bidi w:val="0"/>
        <w:spacing w:before="200" w:after="200"/>
        <w:ind w:left="1440" w:right="0" w:hanging="0"/>
        <w:jc w:val="both"/>
        <w:rPr/>
      </w:pPr>
      <w:r>
        <w:rPr/>
        <w:t>(a) The Exercise Price, the number and kind of securities subject to purchase upon exercise of each Right and the number of Rights outstanding are subject to adjustment from time to time as provided in this Section 2.3 and in Article 3.</w:t>
      </w:r>
    </w:p>
    <w:p>
      <w:pPr>
        <w:pStyle w:val="TextBody"/>
        <w:bidi w:val="0"/>
        <w:spacing w:before="200" w:after="200"/>
        <w:ind w:left="1440" w:right="0" w:hanging="0"/>
        <w:jc w:val="both"/>
        <w:rPr/>
      </w:pPr>
      <w:r>
        <w:rPr/>
        <w:t>(b) In the event that the Corporation shall at any time after the Record Time and prior to the Expiration Time:</w:t>
      </w:r>
    </w:p>
    <w:p>
      <w:pPr>
        <w:pStyle w:val="TextBody"/>
        <w:bidi w:val="0"/>
        <w:spacing w:before="200" w:after="200"/>
        <w:ind w:left="2160" w:right="0" w:hanging="0"/>
        <w:jc w:val="both"/>
        <w:rPr/>
      </w:pPr>
      <w:r>
        <w:rPr/>
        <w:t>(i) subdivide or change the then-outstanding Common Shares into a greater number of Common Shares;</w:t>
      </w:r>
    </w:p>
    <w:p>
      <w:pPr>
        <w:pStyle w:val="TextBody"/>
        <w:bidi w:val="0"/>
        <w:spacing w:before="200" w:after="200"/>
        <w:ind w:left="2160" w:right="0" w:hanging="0"/>
        <w:jc w:val="both"/>
        <w:rPr/>
      </w:pPr>
      <w:r>
        <w:rPr/>
        <w:t>(ii) consolidate or change the then-outstanding Common Shares into a smaller number of Common Shares;</w:t>
      </w:r>
    </w:p>
    <w:p>
      <w:pPr>
        <w:pStyle w:val="TextBody"/>
        <w:bidi w:val="0"/>
        <w:spacing w:before="200" w:after="200"/>
        <w:ind w:left="1440" w:right="0" w:hanging="0"/>
        <w:jc w:val="both"/>
        <w:rPr/>
      </w:pPr>
      <w:r>
        <w:rPr/>
        <w:t>or, in the event that the Corporation shall at any time after the Separation Time and prior to the Expiration Time:</w:t>
      </w:r>
    </w:p>
    <w:p>
      <w:pPr>
        <w:pStyle w:val="TextBody"/>
        <w:bidi w:val="0"/>
        <w:spacing w:before="200" w:after="200"/>
        <w:ind w:left="2160" w:right="0" w:hanging="0"/>
        <w:jc w:val="both"/>
        <w:rPr/>
      </w:pPr>
      <w:r>
        <w:rPr/>
        <w:t>(iii) declare or pay a distribution on the Voting Shares payable in Voting Shares or Convertible Securities other than pursuant to any Dividend Reinvestment Plan; or</w:t>
      </w:r>
    </w:p>
    <w:p>
      <w:pPr>
        <w:pStyle w:val="TextBody"/>
        <w:bidi w:val="0"/>
        <w:spacing w:before="200" w:after="200"/>
        <w:ind w:left="2160" w:right="0" w:hanging="0"/>
        <w:jc w:val="both"/>
        <w:rPr/>
      </w:pPr>
      <w:r>
        <w:rPr/>
        <w:t>(iv) issue any Voting Shares (or Convertible Securities in respect thereof) in respect of, in lieu of or in exchange for existing Common Shares, whether in a reclassification, amalgamation, statutory arrangement, consolidation or otherwise,</w:t>
      </w:r>
    </w:p>
    <w:p>
      <w:pPr>
        <w:pStyle w:val="TextBody"/>
        <w:bidi w:val="0"/>
        <w:spacing w:before="200" w:after="200"/>
        <w:ind w:left="1440" w:right="0" w:hanging="0"/>
        <w:jc w:val="both"/>
        <w:rPr/>
      </w:pPr>
      <w:r>
        <w:rPr/>
        <w:t>then the Exercise Price and the number of Rights outstanding (or, if the payment or effective date therefor shall occur after the Separation Time, the securities purchasable upon the exercise of Rights) shall be adjusted as follows (without duplication with respect to Section 2.1):</w:t>
      </w:r>
    </w:p>
    <w:p>
      <w:pPr>
        <w:pStyle w:val="TextBody"/>
        <w:bidi w:val="0"/>
        <w:spacing w:before="200" w:after="200"/>
        <w:ind w:left="2160" w:right="0" w:hanging="0"/>
        <w:jc w:val="both"/>
        <w:rPr/>
      </w:pPr>
      <w:r>
        <w:rPr/>
        <w:t>(v) if the Exercise Price and number of Rights outstanding are to be adjusted:</w:t>
      </w:r>
    </w:p>
    <w:p>
      <w:pPr>
        <w:pStyle w:val="TextBody"/>
        <w:bidi w:val="0"/>
        <w:spacing w:before="200" w:after="200"/>
        <w:ind w:left="2880" w:right="0" w:hanging="0"/>
        <w:jc w:val="both"/>
        <w:rPr/>
      </w:pPr>
      <w:r>
        <w:rPr/>
        <w:t>(A) the Exercise Price in effect after such adjustment will be equal to the Exercise Price in effect immediately prior to such adjustment divided by the number of Common Shares (or other securities of the Corporation) (the "</w:t>
      </w:r>
      <w:r>
        <w:rPr>
          <w:b/>
        </w:rPr>
        <w:t>Expansion Factor</w:t>
      </w:r>
      <w:r>
        <w:rPr/>
        <w:t>") that a holder of one Common Share immediately prior to such dividend, subdivision, change, consolidation or issuance would hold thereafter as a result thereof;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880" w:right="0" w:hanging="0"/>
        <w:jc w:val="both"/>
        <w:rPr/>
      </w:pPr>
      <w:bookmarkStart w:id="42" w:name="page_27"/>
      <w:bookmarkEnd w:id="42"/>
      <w:r>
        <w:rPr/>
        <w:t>(B) each Right held prior to such adjustment will become that number of Rights equal to the Expansion Factor, and the adjusted number of Rights will be deemed to be allocated among the Common Shares with respect to which the original Rights were associated (if they remain outstanding) and the securities of the Corporation issued in respect of such dividend, subdivision, change, consolidation or issuance, so that each such Common Share (or other security of the Corporation) will have exactly one Right associated with it; and</w:t>
      </w:r>
    </w:p>
    <w:p>
      <w:pPr>
        <w:pStyle w:val="TextBody"/>
        <w:bidi w:val="0"/>
        <w:spacing w:before="200" w:after="200"/>
        <w:ind w:left="2160" w:right="0" w:hanging="0"/>
        <w:jc w:val="both"/>
        <w:rPr/>
      </w:pPr>
      <w:r>
        <w:rPr/>
        <w:t>(vi) 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dividend, subdivision, change, consolidation or issuance would hold thereafter as a result thereof.</w:t>
      </w:r>
    </w:p>
    <w:p>
      <w:pPr>
        <w:pStyle w:val="TextBody"/>
        <w:bidi w:val="0"/>
        <w:spacing w:before="200" w:after="200"/>
        <w:ind w:left="1440" w:right="0" w:hanging="0"/>
        <w:jc w:val="both"/>
        <w:rPr/>
      </w:pPr>
      <w:r>
        <w:rPr/>
        <w:t>Adjustments made pursuant to this Subsection 2.3(b) shall be made successively, whenever an event referred to in this Subsection 2.3(b) occurs.</w:t>
      </w:r>
    </w:p>
    <w:p>
      <w:pPr>
        <w:pStyle w:val="TextBody"/>
        <w:bidi w:val="0"/>
        <w:spacing w:before="200" w:after="200"/>
        <w:ind w:left="1440" w:right="0" w:hanging="0"/>
        <w:jc w:val="both"/>
        <w:rPr/>
      </w:pPr>
      <w:r>
        <w:rPr/>
        <w:t>(c) If, after the Record Time and prior to the Expiration Time, the Corporation shall issue any of its securities other than Common Shares in a transaction of a type described in Subsections 2.3(b)(iii) or 2.3(b)(iv), such securities shall be treated herein as nearly equivalent to Common Shares as may be practicable and appropriate under the circumstances and the Corporation and the Rights Agent agree to amend, supplement or restate this Agreement in order to effect such treatment.</w:t>
      </w:r>
    </w:p>
    <w:p>
      <w:pPr>
        <w:pStyle w:val="TextBody"/>
        <w:bidi w:val="0"/>
        <w:spacing w:before="200" w:after="200"/>
        <w:ind w:left="1440" w:right="0" w:hanging="0"/>
        <w:jc w:val="both"/>
        <w:rPr/>
      </w:pPr>
      <w:r>
        <w:rPr/>
        <w:t>(d) If an event occurs which would require an adjustment under both this Section 2.3 and Section 3.1, the adjustment provided for in this Section 2.3 shall be in addition to, and shall be made prior to, any adjustment required pursuant to Section 3.1.</w:t>
      </w:r>
    </w:p>
    <w:p>
      <w:pPr>
        <w:pStyle w:val="TextBody"/>
        <w:bidi w:val="0"/>
        <w:spacing w:before="200" w:after="200"/>
        <w:ind w:left="1440" w:right="0" w:hanging="0"/>
        <w:jc w:val="both"/>
        <w:rPr/>
      </w:pPr>
      <w:r>
        <w:rPr/>
        <w:t>(e) In the event the Corporation shall at any time after the Record Time and prior to the Separation Time issue any Common Shares otherwise than in a transaction referred to in Subsection 2.3(b), each such Common Share so issued shall automatically have one new Right associated with it, which Right shall be evidenced by the certificate representing such associated Common Share (as provided in Section 2.1).</w:t>
      </w:r>
    </w:p>
    <w:p>
      <w:pPr>
        <w:pStyle w:val="TextBody"/>
        <w:bidi w:val="0"/>
        <w:spacing w:before="200" w:after="200"/>
        <w:ind w:left="1440" w:right="0" w:hanging="0"/>
        <w:jc w:val="both"/>
        <w:rPr/>
      </w:pPr>
      <w:r>
        <w:rPr/>
        <w:t>(f) In the event the Corporation shall, at any time after the Record Time and prior to the Separation Time, fix a record date for the making of a distribution to all holders of Common Shares of rights or warrants entitling them (for a period expiring within 45 calendar days after such record date) to subscribe for or purchase Common Shares (or Convertible Securities in respect of Common Shares) at a price per Common Share (or, in the case of such a Convertible Security, having a conversion, exchange or exercise price per security (including the price required to be paid to purchase such Convertible Security)) less than 90% of the Market Price per Common Share on such record date, the Exercise Price in effect after such record date will equal the Exercise Price in effect immediately prior to such record date multiplied by a fraction of which:</w:t>
      </w:r>
    </w:p>
    <w:p>
      <w:pPr>
        <w:pStyle w:val="TextBody"/>
        <w:bidi w:val="0"/>
        <w:spacing w:before="200" w:after="200"/>
        <w:ind w:left="2160" w:right="0" w:hanging="0"/>
        <w:jc w:val="both"/>
        <w:rPr/>
      </w:pPr>
      <w:r>
        <w:rPr/>
        <w:t>(i) the numerator shall be the number of Common Shares outstanding on such record date plus the number of Common Shares which the aggregate offering price of the total number of Common Shares so to be offered (and/or the aggregate initial conversion, exchange or exercise price of the Convertible Securities so to be offered (including the price required to be paid to purchase such Convertible Securities)) would purchase at such Market Price per Common Share;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43" w:name="page_28"/>
      <w:bookmarkEnd w:id="43"/>
      <w:r>
        <w:rPr/>
        <w:t>(ii) the denominator shall be the number of Common Shares outstanding on such record date plus the number of additional Common Shares to be offered for subscription or purchase (or into which the Convertible Securities so to be offered are initially convertible, exchangeable or exercisable).</w:t>
      </w:r>
    </w:p>
    <w:p>
      <w:pPr>
        <w:pStyle w:val="TextBody"/>
        <w:bidi w:val="0"/>
        <w:spacing w:before="200" w:after="200"/>
        <w:ind w:left="1440" w:right="0" w:hanging="0"/>
        <w:jc w:val="both"/>
        <w:rPr/>
      </w:pPr>
      <w:r>
        <w:rPr/>
        <w:t>In case such subscription price is satisfied, in whole or in part, by consideration other than cash, the value of such consideration shall be as determined in good faith by the Board of Directors, whose determination shall be described in a statement filed with the Rights Agent and shall be binding on the Rights Agent and the holders of the Rights. Such adjustment shall be made successively whenever such a record date is fixed. To the extent that such rights or warrants are not exercised prior to the expiration thereof, the Exercise Price shall be readjusted in the manner contemplated above based on the number of Common Shares (or securities convertible into or exchangeable for Common Shares) actually issued upon the exercise of such rights or warrants.</w:t>
      </w:r>
    </w:p>
    <w:p>
      <w:pPr>
        <w:pStyle w:val="TextBody"/>
        <w:bidi w:val="0"/>
        <w:spacing w:before="200" w:after="200"/>
        <w:ind w:left="1440" w:right="0" w:hanging="0"/>
        <w:jc w:val="both"/>
        <w:rPr/>
      </w:pPr>
      <w:r>
        <w:rPr/>
        <w:t>(g) For purposes of this Agreement, the granting of the right to purchase Common Shares (whether from treasury or otherwise) pursuant to any Dividend Reinvestment Plan or any share purchase plan providing for the reinvestment of dividends or interest payable on securities of the Corporation or the investment of periodic optional payments or employee benefit or stock option or similar plans (so long as such right to purchase is in no case evidenced by the delivery of rights or warrants by the Corporation) shall not be deemed to constitute an issue of rights or warrants by the Corporation; provided, however, that in the case of any Dividend Reinvestment Plan or share purchase plan, the right to purchase Common Shares is at a price per security of not less than 90% of the current market price per share (determined as provided in such plans) of the Common Shares.</w:t>
      </w:r>
    </w:p>
    <w:p>
      <w:pPr>
        <w:pStyle w:val="TextBody"/>
        <w:bidi w:val="0"/>
        <w:spacing w:before="200" w:after="200"/>
        <w:ind w:left="1440" w:right="0" w:hanging="0"/>
        <w:jc w:val="both"/>
        <w:rPr/>
      </w:pPr>
      <w:r>
        <w:rPr/>
        <w:t>(h) In the event the Corporation shall at any time after the Record Time and prior to the Separation Time fix a record date for the making of a distribution to all holders of Common Shares of:</w:t>
      </w:r>
    </w:p>
    <w:p>
      <w:pPr>
        <w:pStyle w:val="TextBody"/>
        <w:bidi w:val="0"/>
        <w:spacing w:before="200" w:after="200"/>
        <w:ind w:left="2160" w:right="0" w:hanging="0"/>
        <w:jc w:val="both"/>
        <w:rPr/>
      </w:pPr>
      <w:r>
        <w:rPr/>
        <w:t>(i) evidences of indebtedness or assets (other than a Regular Periodic Cash Dividend or a dividend paid in Common Shares, but including any dividend payable in securities other than Common Shares); or</w:t>
      </w:r>
    </w:p>
    <w:p>
      <w:pPr>
        <w:pStyle w:val="TextBody"/>
        <w:bidi w:val="0"/>
        <w:spacing w:before="200" w:after="200"/>
        <w:ind w:left="2160" w:right="0" w:hanging="0"/>
        <w:jc w:val="both"/>
        <w:rPr/>
      </w:pPr>
      <w:r>
        <w:rPr/>
        <w:t>(ii) rights or warrants entitling them to subscribe for or purchase Voting Shares other than Common Shares (or Convertible Securities in respect of the Voting Shares other than Common Shares), at a price per Voting Share (or, in the case of a Convertible Security in respect of Voting Shares, having a conversion, exchange or exercise price per security (including the price required to be paid to purchase such Convertible Security)) less than 90% of the Market Price per Common Share on such record date (excluding rights or warrants referred to in Subsection 2.3(f)),</w:t>
      </w:r>
    </w:p>
    <w:p>
      <w:pPr>
        <w:pStyle w:val="TextBody"/>
        <w:bidi w:val="0"/>
        <w:spacing w:before="200" w:after="200"/>
        <w:ind w:left="1440" w:right="0" w:hanging="0"/>
        <w:jc w:val="both"/>
        <w:rPr/>
      </w:pPr>
      <w:r>
        <w:rPr/>
        <w:t>the Exercise Price in effect after such record date shall be equal to the Exercise Price in effect immediately prior to such record date less the fair market value (as determined in good faith by the Board of Directors, whose determination shall be described in a statement filed with the Rights Agent and shall be binding on the Rights Agent and the holders of the Rights) of the portion of the assets, evidences of indebtedness, rights, warrants or other securities so to be distributed applicable to each of the securities purchasable upon exercise of one Right. Such adjustment shall be made successively whenever such a record date is fixed.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44" w:name="page_29"/>
      <w:bookmarkEnd w:id="44"/>
      <w:r>
        <w:rPr/>
        <w:t>(i) Each adjustment made pursuant to this Section 2.3 shall be made as of:</w:t>
      </w:r>
    </w:p>
    <w:p>
      <w:pPr>
        <w:pStyle w:val="TextBody"/>
        <w:bidi w:val="0"/>
        <w:spacing w:before="200" w:after="200"/>
        <w:ind w:left="2160" w:right="0" w:hanging="0"/>
        <w:jc w:val="both"/>
        <w:rPr/>
      </w:pPr>
      <w:r>
        <w:rPr/>
        <w:t>(i) the payment or effective date for the applicable dividend, subdivision, change, consolidation or issuance, in the case of an adjustment made pursuant to Subsection 2.3(b); and</w:t>
      </w:r>
    </w:p>
    <w:p>
      <w:pPr>
        <w:pStyle w:val="TextBody"/>
        <w:bidi w:val="0"/>
        <w:spacing w:before="200" w:after="200"/>
        <w:ind w:left="2160" w:right="0" w:hanging="0"/>
        <w:jc w:val="both"/>
        <w:rPr/>
      </w:pPr>
      <w:r>
        <w:rPr/>
        <w:t>(ii) the record date for the applicable dividend or distribution, in the case of an adjustment made pursuant to Subsections 2.3(f) or 2.3(h), subject to readjustment to reverse the same if such distribution shall not be made.</w:t>
      </w:r>
    </w:p>
    <w:p>
      <w:pPr>
        <w:pStyle w:val="TextBody"/>
        <w:bidi w:val="0"/>
        <w:spacing w:before="200" w:after="200"/>
        <w:ind w:left="1440" w:right="0" w:hanging="0"/>
        <w:jc w:val="both"/>
        <w:rPr/>
      </w:pPr>
      <w:r>
        <w:rPr/>
        <w:t>(j) In the event the Corporation shall at any time after the Record Time and prior to the Separation Time issue any securities (other than Common Shares), or rights or warrants to subscribe for or purchase any such securities, or Convertible Securities in respect of any such securities, in a transaction referred to in any of Subsections 2.3(b), 2.3(f) and 2.3(h), inclusive, if the Board of Directors acting in good faith determines that the adjustments contemplated by Subsections 2.3(b), 2.3(f) and 2.3(h) in connection with such transaction will not appropriately protect the interests of the holders of Rights, then the Board of Directors may from time to time, but subject to obtaining the prior approval of the holders of the Rights obtained as set forth in Subsection 5.4(b), determine what other adjustments to the Exercise Price, number of Rights or securities purchasable upon exercise of Rights would be appropriate and, notwithstanding Subsections 2.3(b), 2.3(f) and 2.3(h), such adjustments, rather than the adjustments contemplated by Subsections 2.3(b), 2.3(f) and 2.3(h), shall be made upon the Board of Directors providing written certification thereof to the Rights Agent as set forth in Subsection 2.3(r). The Corporation and the Rights Agent shall amend, supplement or restate this Agreement as appropriate to provide for such adjustments.</w:t>
      </w:r>
    </w:p>
    <w:p>
      <w:pPr>
        <w:pStyle w:val="TextBody"/>
        <w:bidi w:val="0"/>
        <w:spacing w:before="200" w:after="200"/>
        <w:ind w:left="1440" w:right="0" w:hanging="0"/>
        <w:jc w:val="both"/>
        <w:rPr/>
      </w:pPr>
      <w:r>
        <w:rPr/>
        <w:t>(k) Notwithstanding anything herein to the contrary, no adjustment of the Exercise Price shall be required unless such adjustment would require an increase or decrease of at least 1% in such Exercise Price; provided, however, that any adjustments which by reason of this Subsection 2.3(k) are not required to be made shall be carried forward and taken into account in any subsequent adjustment. All adjustments to the Exercise Price made pursuant to this Subsection 2.3 shall be calculated to the nearest cent.</w:t>
      </w:r>
    </w:p>
    <w:p>
      <w:pPr>
        <w:pStyle w:val="TextBody"/>
        <w:bidi w:val="0"/>
        <w:spacing w:before="200" w:after="200"/>
        <w:ind w:left="1440" w:right="0" w:hanging="0"/>
        <w:jc w:val="both"/>
        <w:rPr/>
      </w:pPr>
      <w:r>
        <w:rPr/>
        <w:t>(l) All Rights originally issued by the Corporation subsequent to any adjustment made to an Exercise Price hereunder shall evidence the right to purchase, at the adjusted Exercise Price, the number of Common Shares purchasable from time to time hereunder upon exercise of the Rights, all subject to further adjustment as provided herein.</w:t>
      </w:r>
    </w:p>
    <w:p>
      <w:pPr>
        <w:pStyle w:val="TextBody"/>
        <w:bidi w:val="0"/>
        <w:spacing w:before="200" w:after="200"/>
        <w:ind w:left="1440" w:right="0" w:hanging="0"/>
        <w:jc w:val="both"/>
        <w:rPr/>
      </w:pPr>
      <w:r>
        <w:rPr/>
        <w:t>(m) Unless the Corporation shall have exercised its election, as provided in Subsection 2.3(n), upon each adjustment of an Exercise Price as a result of the calculations made in Subsections 2.3(f) and 2.3(h), each Right outstanding immediately prior to the making of such adjustment shall thereafter evidence the right to purchase, at the adjusted Exercise Price, that number of Common Shares obtained by:</w:t>
      </w:r>
    </w:p>
    <w:p>
      <w:pPr>
        <w:pStyle w:val="TextBody"/>
        <w:bidi w:val="0"/>
        <w:spacing w:before="200" w:after="200"/>
        <w:ind w:left="2160" w:right="0" w:hanging="0"/>
        <w:jc w:val="both"/>
        <w:rPr/>
      </w:pPr>
      <w:r>
        <w:rPr/>
        <w:t>(i) multiplying (A) the number of Common Shares covered by a Right immediately prior to such adjustment, by (B) the Exercise Price in effect immediately prior to such adjustment;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45" w:name="page_30"/>
      <w:bookmarkEnd w:id="45"/>
      <w:r>
        <w:rPr/>
        <w:t>(ii) dividing the product so obtained by the Exercise Price in effect immediately after such adjustment.</w:t>
      </w:r>
    </w:p>
    <w:p>
      <w:pPr>
        <w:pStyle w:val="TextBody"/>
        <w:bidi w:val="0"/>
        <w:spacing w:before="200" w:after="200"/>
        <w:ind w:left="1440" w:right="0" w:hanging="0"/>
        <w:jc w:val="both"/>
        <w:rPr/>
      </w:pPr>
      <w:r>
        <w:rPr/>
        <w:t>(n) The Corporation may elect on or after the date of any adjustment of an Exercise Price to adjust the number of Rights, in lieu of any adjustment in the number of Common Shares purchasable upon the exercise of a Right. Each of the Rights outstanding after the adjustment in the number of Rights shall be exercisable for the number of Common Shares for which a Right was exercisable immediately prior to such adjustment. Each Right held of record prior to such adjustment of the number of Rights shall become the number of Rights obtained by dividing the relevant Exercise Price in effect immediately prior to adjustment of the relevant Exercise Price by the relevant Exercise Price in effect immediately after adjustment of the relevant Exercise Price. The Corporation shall make a public announcement of its election to adjust the number of Rights, indicating the record date for the adjustment, and, if known at the time, the amount of the adjustment to be made. This record date may be the date on which the relevant Exercise Price is adjusted or any day thereafter, but, if the Rights Certificates have been issued, shall be at least 10 calendar days later than the date of the public announcement. If Rights Certificates have been issued, upon each adjustment of the number of Rights pursuant to this Subsection 2.3(n), the Corporation shall, as promptly as practicable, cause to be distributed to holders of record of Rights Certificates on such record date, Rights Certificates evidencing, subject to Section 5.5, the additional Rights to which such holders shall be entitled as a result of such adjustment, or, at the option of the Corporation, shall cause to be distributed to such holders of record in substitution and replacement for the Rights Certificates held by such holders prior to the date of adjustment, and upon surrender thereof, if required by the Corporation, new Rights Certificates evidencing all the Rights to which such holders shall be entitled after such adjustment. Rights Certificates so to be distributed shall be issued, executed and countersigned in the manner provided for herein and may bear, at the option of the Corporation, the relevant adjusted Exercise Price and shall be registered in the names of holders of record of Rights Certificates on the record date specified in the public announcement.</w:t>
      </w:r>
    </w:p>
    <w:p>
      <w:pPr>
        <w:pStyle w:val="TextBody"/>
        <w:bidi w:val="0"/>
        <w:spacing w:before="200" w:after="200"/>
        <w:ind w:left="1440" w:right="0" w:hanging="0"/>
        <w:jc w:val="both"/>
        <w:rPr/>
      </w:pPr>
      <w:r>
        <w:rPr/>
        <w:t>(o) In any case in which this Section 2.3 shall require that an adjustment in an Exercise Price be made effective as of a record date for a specified event, the Corporation may elect to defer until the occurrence of such event the issuance to the holder of any Right exercised after such record date of the number of Common Shares and other securities of the Corporation, if any, issuable upon such exercise over and above the number of Common Shares and other securities of the Corporation, if any, issuable upon such exercise on the basis of the relevant Exercise Price in effect prior to such adjustment; provided, however, that the Corporation shall deliver to such holder an appropriate instrument evidencing such holder's right to receive such additional Common Shares (fractional or otherwise) or other securities upon the occurrence of the event requiring such adjustment.</w:t>
      </w:r>
    </w:p>
    <w:p>
      <w:pPr>
        <w:pStyle w:val="TextBody"/>
        <w:bidi w:val="0"/>
        <w:spacing w:before="200" w:after="200"/>
        <w:ind w:left="1440" w:right="0" w:hanging="0"/>
        <w:jc w:val="both"/>
        <w:rPr/>
      </w:pPr>
      <w:r>
        <w:rPr/>
        <w:t>(p) Notwithstanding anything in this Section 2.3 to the contrary, the Corporation shall be entitled to make such adjustments in the Exercise Price, in addition to those adjustments expressly required by this Section 2.3, as and to the extent that in its good faith judgment the Board of Directors shall determine to be advisable in order that any:</w:t>
      </w:r>
    </w:p>
    <w:p>
      <w:pPr>
        <w:pStyle w:val="TextBody"/>
        <w:bidi w:val="0"/>
        <w:spacing w:before="200" w:after="200"/>
        <w:ind w:left="2160" w:right="0" w:hanging="0"/>
        <w:jc w:val="both"/>
        <w:rPr/>
      </w:pPr>
      <w:r>
        <w:rPr/>
        <w:t>(i) subdivision or consolidation of the Common Shares;</w:t>
      </w:r>
    </w:p>
    <w:p>
      <w:pPr>
        <w:pStyle w:val="TextBody"/>
        <w:bidi w:val="0"/>
        <w:spacing w:before="200" w:after="200"/>
        <w:ind w:left="2160" w:right="0" w:hanging="0"/>
        <w:jc w:val="both"/>
        <w:rPr/>
      </w:pPr>
      <w:r>
        <w:rPr/>
        <w:t>(ii) issuance wholly for cash of any Common Shares at less than the applicable Market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46" w:name="page_31"/>
      <w:bookmarkEnd w:id="46"/>
      <w:r>
        <w:rPr/>
        <w:t>(iii) issuance wholly for cash of any Common Shares or securities that by their terms are exchangeable for or convertible into or give a right to acquire Common Shares;</w:t>
      </w:r>
    </w:p>
    <w:p>
      <w:pPr>
        <w:pStyle w:val="TextBody"/>
        <w:bidi w:val="0"/>
        <w:spacing w:before="200" w:after="200"/>
        <w:ind w:left="2160" w:right="0" w:hanging="0"/>
        <w:jc w:val="both"/>
        <w:rPr/>
      </w:pPr>
      <w:r>
        <w:rPr/>
        <w:t>(iv) stock dividends; or</w:t>
      </w:r>
    </w:p>
    <w:p>
      <w:pPr>
        <w:pStyle w:val="TextBody"/>
        <w:bidi w:val="0"/>
        <w:spacing w:before="200" w:after="200"/>
        <w:ind w:left="2160" w:right="0" w:hanging="0"/>
        <w:jc w:val="both"/>
        <w:rPr/>
      </w:pPr>
      <w:r>
        <w:rPr/>
        <w:t>(v) issuance of rights or warrants referred to in this Section 2.3, hereafter made by the Corporation to holders of its Common Shares,</w:t>
      </w:r>
    </w:p>
    <w:p>
      <w:pPr>
        <w:pStyle w:val="TextBody"/>
        <w:bidi w:val="0"/>
        <w:spacing w:before="200" w:after="200"/>
        <w:ind w:left="1440" w:right="0" w:hanging="0"/>
        <w:jc w:val="both"/>
        <w:rPr/>
      </w:pPr>
      <w:r>
        <w:rPr/>
        <w:t>shall not be taxable to such shareholders.</w:t>
      </w:r>
    </w:p>
    <w:p>
      <w:pPr>
        <w:pStyle w:val="TextBody"/>
        <w:bidi w:val="0"/>
        <w:spacing w:before="200" w:after="200"/>
        <w:ind w:left="1440" w:right="0" w:hanging="0"/>
        <w:jc w:val="both"/>
        <w:rPr/>
      </w:pPr>
      <w:r>
        <w:rPr/>
        <w:t>(q) Irrespective of any adjustment or change in the securities purchasable upon exercise of the Rights, the Rights Certificates theretofore and thereafter issued may continue to represent the securities so purchasable which were represented in the initial Rights Certificates issued hereunder.</w:t>
      </w:r>
    </w:p>
    <w:p>
      <w:pPr>
        <w:pStyle w:val="TextBody"/>
        <w:bidi w:val="0"/>
        <w:spacing w:before="200" w:after="200"/>
        <w:ind w:left="1440" w:right="0" w:hanging="0"/>
        <w:jc w:val="both"/>
        <w:rPr/>
      </w:pPr>
      <w:r>
        <w:rPr/>
        <w:t>(r) Whenever an adjustment to the Exercise Price is made pursuant to this Section 2.3, the Corporation shall:</w:t>
      </w:r>
    </w:p>
    <w:p>
      <w:pPr>
        <w:pStyle w:val="TextBody"/>
        <w:bidi w:val="0"/>
        <w:spacing w:before="200" w:after="200"/>
        <w:ind w:left="2160" w:right="0" w:hanging="0"/>
        <w:jc w:val="both"/>
        <w:rPr/>
      </w:pPr>
      <w:r>
        <w:rPr/>
        <w:t>(i) promptly prepare a certificate setting forth such adjustment and a brief statement of the facts accounting for such adjustment; and</w:t>
      </w:r>
    </w:p>
    <w:p>
      <w:pPr>
        <w:pStyle w:val="TextBody"/>
        <w:bidi w:val="0"/>
        <w:spacing w:before="200" w:after="200"/>
        <w:ind w:left="2160" w:right="0" w:hanging="0"/>
        <w:jc w:val="both"/>
        <w:rPr/>
      </w:pPr>
      <w:r>
        <w:rPr/>
        <w:t>(ii) promptly file with the Rights Agent and with the transfer agent for the Common Shares a copy of such certificate and mail a brief summary thereof to each holder of Rights who requests a copy.</w:t>
      </w:r>
    </w:p>
    <w:p>
      <w:pPr>
        <w:pStyle w:val="TextBody"/>
        <w:bidi w:val="0"/>
        <w:spacing w:before="200" w:after="200"/>
        <w:ind w:left="1440" w:right="0" w:hanging="0"/>
        <w:jc w:val="both"/>
        <w:rPr/>
      </w:pPr>
      <w:r>
        <w:rPr/>
        <w:t>Failure to file such certificate or to cause such notice to be given as aforesaid, or any defect therein, shall not affect the validity of any such adjustment or change.</w:t>
      </w:r>
    </w:p>
    <w:p>
      <w:pPr>
        <w:pStyle w:val="TextBody"/>
        <w:bidi w:val="0"/>
        <w:spacing w:before="200" w:after="200"/>
        <w:ind w:left="720" w:right="0" w:hanging="0"/>
        <w:jc w:val="both"/>
        <w:rPr/>
      </w:pPr>
      <w:r>
        <w:rPr>
          <w:b/>
        </w:rPr>
        <w:t>2.4</w:t>
      </w:r>
      <w:r>
        <w:rPr/>
        <w:t> </w:t>
      </w:r>
      <w:r>
        <w:rPr>
          <w:b/>
        </w:rPr>
        <w:t>Date on Which Exercise is Effective</w:t>
      </w:r>
    </w:p>
    <w:p>
      <w:pPr>
        <w:pStyle w:val="TextBody"/>
        <w:bidi w:val="0"/>
        <w:spacing w:before="200" w:after="200"/>
        <w:jc w:val="both"/>
        <w:rPr/>
      </w:pPr>
      <w:r>
        <w:rPr/>
        <w:t>Each Person in whose name any certificate for Common Shares or confirmation in Book Entry Form is issued upon the exercise of Rights shall for all purposes be deemed to have become the holder of record of the Common Shares represented thereby on, and such certificate or entry shall be dated, the date upon which the Rights Certificate evidencing such Rights was duly surrendered (together with a duly completed Election to Exercise) and payment of the Exercise Price for such Rights (and any applicable transfer taxes and other governmental charges payable by the exercising Person hereunder) was made; provided, however, that if the date of such surrender and payment is a date upon which the Common Share transfer books of the Corporation are closed, such Person shall be deemed to have become the record holder of such shares on, and such certificate or entry shall be dated, the next Business Day on which the Common Share transfer books of the Corporation are open.</w:t>
      </w:r>
    </w:p>
    <w:p>
      <w:pPr>
        <w:pStyle w:val="TextBody"/>
        <w:bidi w:val="0"/>
        <w:spacing w:before="200" w:after="200"/>
        <w:ind w:left="720" w:right="0" w:hanging="0"/>
        <w:jc w:val="both"/>
        <w:rPr/>
      </w:pPr>
      <w:r>
        <w:rPr>
          <w:b/>
        </w:rPr>
        <w:t>2.5</w:t>
      </w:r>
      <w:r>
        <w:rPr/>
        <w:t> </w:t>
      </w:r>
      <w:r>
        <w:rPr>
          <w:b/>
        </w:rPr>
        <w:t>Execution, Authentication, Delivery and Dating of Rights Certificates</w:t>
      </w:r>
    </w:p>
    <w:p>
      <w:pPr>
        <w:pStyle w:val="TextBody"/>
        <w:bidi w:val="0"/>
        <w:spacing w:before="200" w:after="200"/>
        <w:jc w:val="both"/>
        <w:rPr/>
      </w:pPr>
      <w:r>
        <w:rPr/>
        <w:t>Rights will be evidenced, in the case of Rights in Book Entry Form, by a statement issued under the Rights Agent's direct registration system or, alternatively, if the Corporation determines to issue Rights Certificates, by the following procedures:</w:t>
      </w:r>
    </w:p>
    <w:p>
      <w:pPr>
        <w:pStyle w:val="TextBody"/>
        <w:bidi w:val="0"/>
        <w:spacing w:before="200" w:after="200"/>
        <w:ind w:left="1440" w:right="0" w:hanging="0"/>
        <w:jc w:val="both"/>
        <w:rPr/>
      </w:pPr>
      <w:r>
        <w:rPr/>
        <w:t>(a) The Rights Certificates shall be executed on behalf of the Corporation by the Chief Executive Officer, President, Chief Financial Officer or Secretary of the Corporation.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prior to the countersignature and delivery of such Rights Certificates.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47" w:name="page_32"/>
      <w:bookmarkEnd w:id="47"/>
      <w:r>
        <w:rPr/>
        <w:t>(b) Promptly following the Separation Time, the Corporation will notify the Rights Agent of such Separation Time and will deliver Rights Certificates executed by or on behalf of the Corporation to the Rights Agent for countersignature, and the Rights Agent shall countersign (manually or by facsimile signature in a manner satisfactory to the Corporation) and deliver such Rights Certificates to the holders of the Rights pursuant to Section 2.2. No Rights Certificate shall be valid for any purpose until countersigned by the Rights Agent as aforesaid.</w:t>
      </w:r>
    </w:p>
    <w:p>
      <w:pPr>
        <w:pStyle w:val="TextBody"/>
        <w:bidi w:val="0"/>
        <w:spacing w:before="200" w:after="200"/>
        <w:ind w:left="1440" w:right="0" w:hanging="0"/>
        <w:jc w:val="both"/>
        <w:rPr/>
      </w:pPr>
      <w:r>
        <w:rPr/>
        <w:t>(c) Each Rights Certificate shall be dated the date of countersignature thereof.</w:t>
      </w:r>
    </w:p>
    <w:p>
      <w:pPr>
        <w:pStyle w:val="TextBody"/>
        <w:bidi w:val="0"/>
        <w:spacing w:before="200" w:after="200"/>
        <w:ind w:left="720" w:right="0" w:hanging="0"/>
        <w:jc w:val="both"/>
        <w:rPr/>
      </w:pPr>
      <w:r>
        <w:rPr>
          <w:b/>
        </w:rPr>
        <w:t>2.6</w:t>
      </w:r>
      <w:r>
        <w:rPr/>
        <w:t> </w:t>
      </w:r>
      <w:r>
        <w:rPr>
          <w:b/>
        </w:rPr>
        <w:t>Registration, Transfer and Exchange</w:t>
      </w:r>
    </w:p>
    <w:p>
      <w:pPr>
        <w:pStyle w:val="TextBody"/>
        <w:bidi w:val="0"/>
        <w:spacing w:before="200" w:after="200"/>
        <w:ind w:left="1440" w:right="0" w:hanging="0"/>
        <w:jc w:val="both"/>
        <w:rPr/>
      </w:pPr>
      <w:r>
        <w:rPr/>
        <w:t>(a) After the Separation Time, the Corporation will cause to be kept a register (the "</w:t>
      </w:r>
      <w:r>
        <w:rPr>
          <w:b/>
        </w:rPr>
        <w:t>Rights Register</w:t>
      </w:r>
      <w:r>
        <w:rPr/>
        <w:t>") in which, subject to such reasonable regulations as it may prescribe, the Corporation will provide for the registration and transfer of Rights. The Rights Agent is hereby appointed registrar for the Rights (the "</w:t>
      </w:r>
      <w:r>
        <w:rPr>
          <w:b/>
        </w:rPr>
        <w:t>Rights Registrar</w:t>
      </w:r>
      <w:r>
        <w:rPr/>
        <w:t>") for the purpose of maintaining the Rights Register for the Corporation and registering Rights and transfers of Rights as herein provided and the Rights Agent hereby accepts such appointment. In the event that the Rights Agent shall cease to be the Rights Registrar, the Rights Agent will have the right to examine the Rights Register at all reasonable times.</w:t>
      </w:r>
    </w:p>
    <w:p>
      <w:pPr>
        <w:pStyle w:val="TextBody"/>
        <w:bidi w:val="0"/>
        <w:spacing w:before="200" w:after="200"/>
        <w:ind w:left="1440" w:right="0" w:hanging="0"/>
        <w:jc w:val="both"/>
        <w:rPr/>
      </w:pPr>
      <w:r>
        <w:rPr/>
        <w:t>(b) After the Separation Time and prior to the Expiration Time, upon surrender for registration of transfer or exchange of any Rights Certificate, and subject to the provisions of Subsections 2.6(d) and 3.1(b), the Corporation will execute, and the Rights Agent will countersign, deliver and register, in the name of the holder or the designated transferee or transferees, as required pursuant to the holder's instructions, one or more new Rights Certificates evidencing the same aggregate number of Rights as did the Rights Certificates so surrendered. Alternatively, in the case of the exercise of Rights in Book Entry Form, the Rights Agent shall provide the holder or the designated transferee or transferees with one or more statements issued under the Rights Agent's direct registration system evidencing the same aggregate number of Rights as did the direct registration system's records for the Rights transferred or exchanged.</w:t>
      </w:r>
    </w:p>
    <w:p>
      <w:pPr>
        <w:pStyle w:val="TextBody"/>
        <w:bidi w:val="0"/>
        <w:spacing w:before="200" w:after="200"/>
        <w:ind w:left="1440" w:right="0" w:hanging="0"/>
        <w:jc w:val="both"/>
        <w:rPr/>
      </w:pPr>
      <w:r>
        <w:rPr/>
        <w:t>(c) All Rights issued upon any registration of transfer or exchange of Rights Certificates shall be valid obligations of the Corporation, and such Rights shall be entitled to the same benefits under this Agreement as the Rights surrendered upon such registration of transfer or exchange.</w:t>
      </w:r>
    </w:p>
    <w:p>
      <w:pPr>
        <w:pStyle w:val="TextBody"/>
        <w:bidi w:val="0"/>
        <w:spacing w:before="200" w:after="200"/>
        <w:ind w:left="1440" w:right="0" w:hanging="0"/>
        <w:jc w:val="both"/>
        <w:rPr/>
      </w:pPr>
      <w:r>
        <w:rPr/>
        <w:t>(d) 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fees and expenses of the Rights Agent)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48" w:name="page_33"/>
      <w:bookmarkEnd w:id="48"/>
      <w:r>
        <w:rPr>
          <w:b/>
        </w:rPr>
        <w:t>2.7</w:t>
      </w:r>
      <w:r>
        <w:rPr/>
        <w:t> </w:t>
      </w:r>
      <w:r>
        <w:rPr>
          <w:b/>
        </w:rPr>
        <w:t>Mutilated, Lost, Stolen and Destroyed Rights Certificates</w:t>
      </w:r>
    </w:p>
    <w:p>
      <w:pPr>
        <w:pStyle w:val="TextBody"/>
        <w:bidi w:val="0"/>
        <w:spacing w:before="200" w:after="200"/>
        <w:ind w:left="1440" w:right="0" w:hanging="0"/>
        <w:jc w:val="both"/>
        <w:rPr/>
      </w:pPr>
      <w:r>
        <w:rPr/>
        <w:t>(a) 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pStyle w:val="TextBody"/>
        <w:bidi w:val="0"/>
        <w:spacing w:before="200" w:after="200"/>
        <w:ind w:left="1440" w:right="0" w:hanging="0"/>
        <w:jc w:val="both"/>
        <w:rPr/>
      </w:pPr>
      <w:r>
        <w:rPr/>
        <w:t>(b) If there shall be delivered to the Corporation and the Rights Agent prior to the Expiration Time:</w:t>
      </w:r>
    </w:p>
    <w:p>
      <w:pPr>
        <w:pStyle w:val="TextBody"/>
        <w:bidi w:val="0"/>
        <w:spacing w:before="200" w:after="200"/>
        <w:ind w:left="2160" w:right="0" w:hanging="0"/>
        <w:jc w:val="both"/>
        <w:rPr/>
      </w:pPr>
      <w:r>
        <w:rPr/>
        <w:t>(i) evidence to their reasonable satisfaction of the destruction, loss or theft of any Rights Certificate; and</w:t>
      </w:r>
    </w:p>
    <w:p>
      <w:pPr>
        <w:pStyle w:val="TextBody"/>
        <w:bidi w:val="0"/>
        <w:spacing w:before="200" w:after="200"/>
        <w:ind w:left="2160" w:right="0" w:hanging="0"/>
        <w:jc w:val="both"/>
        <w:rPr/>
      </w:pPr>
      <w:r>
        <w:rPr/>
        <w:t>(ii) such security or indemnity as may be reasonably required by them to save each of them and any of their agents harmless,</w:t>
      </w:r>
    </w:p>
    <w:p>
      <w:pPr>
        <w:pStyle w:val="TextBody"/>
        <w:bidi w:val="0"/>
        <w:spacing w:before="200" w:after="200"/>
        <w:ind w:left="1440" w:right="0" w:hanging="0"/>
        <w:jc w:val="both"/>
        <w:rPr/>
      </w:pPr>
      <w:r>
        <w:rPr/>
        <w:t>then, in the absence of notice to the Corporation or the Rights Agent that such Rights Certificate has been acquired by a bona fide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pStyle w:val="TextBody"/>
        <w:bidi w:val="0"/>
        <w:spacing w:before="200" w:after="200"/>
        <w:ind w:left="1440" w:right="0" w:hanging="0"/>
        <w:jc w:val="both"/>
        <w:rPr/>
      </w:pPr>
      <w:r>
        <w:rPr/>
        <w:t>(c) As a condition to the issuance of any new Rights Certificate under this Section 2.7, the Corporation may require the payment of a sum sufficient to cover any tax or other governmental charge that may be imposed in relation thereto and any other expenses (including the fees and expenses of the Rights Agent) connected therewith.</w:t>
      </w:r>
    </w:p>
    <w:p>
      <w:pPr>
        <w:pStyle w:val="TextBody"/>
        <w:bidi w:val="0"/>
        <w:spacing w:before="200" w:after="200"/>
        <w:ind w:left="1440" w:right="0" w:hanging="0"/>
        <w:jc w:val="both"/>
        <w:rPr/>
      </w:pPr>
      <w:r>
        <w:rPr/>
        <w:t>(d) Every new Rights Certificate issued pursuant to this Section 2.7 in lieu of any destroyed, lost or stolen Rights Certificate shall evidence a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pStyle w:val="TextBody"/>
        <w:bidi w:val="0"/>
        <w:spacing w:before="200" w:after="200"/>
        <w:ind w:left="720" w:right="0" w:hanging="0"/>
        <w:jc w:val="both"/>
        <w:rPr/>
      </w:pPr>
      <w:r>
        <w:rPr>
          <w:b/>
        </w:rPr>
        <w:t>2.8</w:t>
      </w:r>
      <w:r>
        <w:rPr/>
        <w:t> </w:t>
      </w:r>
      <w:r>
        <w:rPr>
          <w:b/>
        </w:rPr>
        <w:t>Persons Deemed Owners</w:t>
      </w:r>
    </w:p>
    <w:p>
      <w:pPr>
        <w:pStyle w:val="TextBody"/>
        <w:bidi w:val="0"/>
        <w:spacing w:before="200" w:after="200"/>
        <w:jc w:val="both"/>
        <w:rPr/>
      </w:pPr>
      <w:r>
        <w:rPr/>
        <w:t>Prior to due presentment of a Rights Certificate (or, prior to the Separation Time, the associated Voting Share certificate, or if no certificate evidences the share registration, satisfactory evidence of the associated share registration) for registration of transfer, the Corporation, the Rights Agent and any agent of the Corporation or the Rights Agent may deem and treat the Person in whose name a Rights Certificate (or, prior to the Separation Time, the associated Voting Share certificate, or if no certificate evidences the share registration, the Person in whose name the share registration is made) is registered as the absolute owner thereof and of the Rights evidenced thereby (notwithstanding any notations of ownership or writing on such Rights Certificate or the associated Voting Share certificate made by anyone other than the Corporation or the Rights Agent) for all purposes whatsoever, and neither the Corporation nor the Rights Agent shall be affected by any notice to the contrary. As used in this Agreement, unless the context otherwise requires, the term "</w:t>
      </w:r>
      <w:r>
        <w:rPr>
          <w:b/>
        </w:rPr>
        <w:t>holder</w:t>
      </w:r>
      <w:r>
        <w:rPr/>
        <w:t>" of any Rights shall mean the registered holder of such Rights (or, prior to the Separation Time, the associated Voting Shares).</w:t>
      </w:r>
    </w:p>
    <w:p>
      <w:pPr>
        <w:pStyle w:val="TextBody"/>
        <w:bidi w:val="0"/>
        <w:spacing w:before="200" w:after="200"/>
        <w:ind w:left="720" w:right="0" w:hanging="0"/>
        <w:jc w:val="both"/>
        <w:rPr/>
      </w:pPr>
      <w:r>
        <w:rPr>
          <w:b/>
        </w:rPr>
        <w:t>2.9</w:t>
      </w:r>
      <w:r>
        <w:rPr/>
        <w:t> </w:t>
      </w:r>
      <w:r>
        <w:rPr>
          <w:b/>
        </w:rPr>
        <w:t>Delivery and Cancellation of Certificates</w:t>
      </w:r>
    </w:p>
    <w:p>
      <w:pPr>
        <w:pStyle w:val="TextBody"/>
        <w:bidi w:val="0"/>
        <w:spacing w:before="200" w:after="200"/>
        <w:jc w:val="both"/>
        <w:rPr/>
      </w:pPr>
      <w:r>
        <w:rPr/>
        <w:t>All Rights Certificates surrendered upon exercise or for redemption, for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 destroy all cancelled Rights Certificates and deliver a certificate of destruction to the Corporation 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49" w:name="page_34"/>
      <w:bookmarkEnd w:id="49"/>
      <w:r>
        <w:rPr>
          <w:b/>
        </w:rPr>
        <w:t>2.10</w:t>
      </w:r>
      <w:r>
        <w:rPr/>
        <w:t> </w:t>
      </w:r>
      <w:r>
        <w:rPr>
          <w:b/>
        </w:rPr>
        <w:t>Agreement of Rights Holders</w:t>
      </w:r>
    </w:p>
    <w:p>
      <w:pPr>
        <w:pStyle w:val="TextBody"/>
        <w:bidi w:val="0"/>
        <w:spacing w:before="200" w:after="200"/>
        <w:jc w:val="both"/>
        <w:rPr/>
      </w:pPr>
      <w:r>
        <w:rPr/>
        <w:t>Every holder of Rights, by accepting such Rights, consents and agrees with the Corporation and the Rights Agent and with every other holder of Rights:</w:t>
      </w:r>
    </w:p>
    <w:p>
      <w:pPr>
        <w:pStyle w:val="TextBody"/>
        <w:bidi w:val="0"/>
        <w:spacing w:before="200" w:after="200"/>
        <w:ind w:left="1440" w:right="0" w:hanging="0"/>
        <w:jc w:val="both"/>
        <w:rPr/>
      </w:pPr>
      <w:r>
        <w:rPr/>
        <w:t>(a) to be bound by and subject to the provisions of this Agreement, as amended from time to time in accordance with the terms hereof, in respect of all Rights held;</w:t>
      </w:r>
    </w:p>
    <w:p>
      <w:pPr>
        <w:pStyle w:val="TextBody"/>
        <w:bidi w:val="0"/>
        <w:spacing w:before="200" w:after="200"/>
        <w:ind w:left="1440" w:right="0" w:hanging="0"/>
        <w:jc w:val="both"/>
        <w:rPr/>
      </w:pPr>
      <w:r>
        <w:rPr/>
        <w:t>(b) that, prior to the Separation Time, each Right will be transferable only together with, and will be transferred by a transfer of, the associated Voting Share;</w:t>
      </w:r>
    </w:p>
    <w:p>
      <w:pPr>
        <w:pStyle w:val="TextBody"/>
        <w:bidi w:val="0"/>
        <w:spacing w:before="200" w:after="200"/>
        <w:ind w:left="1440" w:right="0" w:hanging="0"/>
        <w:jc w:val="both"/>
        <w:rPr/>
      </w:pPr>
      <w:r>
        <w:rPr/>
        <w:t>(c) that, after the Separation Time, the Rights will be transferable only on the Rights Register as provided herein;</w:t>
      </w:r>
    </w:p>
    <w:p>
      <w:pPr>
        <w:pStyle w:val="TextBody"/>
        <w:bidi w:val="0"/>
        <w:spacing w:before="200" w:after="200"/>
        <w:ind w:left="1440" w:right="0" w:hanging="0"/>
        <w:jc w:val="both"/>
        <w:rPr/>
      </w:pPr>
      <w:r>
        <w:rPr/>
        <w:t>(d) that, prior to due presentment of a Rights Certificate (or, prior to the Separation Time, the associated Voting Share certificate, or if no certificate evidences the share registration, satisfactory evidence of the associated share registration) for registration of transfer, the Corporation, the Rights Agent and any agent of the Corporation or the Rights Agent may deem and treat the Person in whose name the Rights Certificate (or, prior to the Separation Time, the associated Voting Share certificate, or if no certificate evidences the share registration, the Person in whose name the share registration is made) is registered as the absolute owner thereof and of the Rights evidenced thereby (notwithstanding any notations of ownership or writing on such Rights Certificate or the associated Voting Share certificate made by anyone other than the Corporation or the Rights Agent) for all purposes whatsoever, and neither the Corporation nor the Rights Agent shall be affected by any notice to the contrary;</w:t>
      </w:r>
    </w:p>
    <w:p>
      <w:pPr>
        <w:pStyle w:val="TextBody"/>
        <w:bidi w:val="0"/>
        <w:spacing w:before="200" w:after="200"/>
        <w:ind w:left="1440" w:right="0" w:hanging="0"/>
        <w:jc w:val="both"/>
        <w:rPr/>
      </w:pPr>
      <w:r>
        <w:rPr/>
        <w:t>(e) that such holder of Rights is not entitled to receive any fractional Rights or any fractional Common Shares or other securities upon exercise of a Right (except as provided herein);</w:t>
      </w:r>
    </w:p>
    <w:p>
      <w:pPr>
        <w:pStyle w:val="TextBody"/>
        <w:bidi w:val="0"/>
        <w:spacing w:before="200" w:after="200"/>
        <w:ind w:left="1440" w:right="0" w:hanging="0"/>
        <w:jc w:val="both"/>
        <w:rPr/>
      </w:pPr>
      <w:r>
        <w:rPr/>
        <w:t>(f) that, without the approval of any holder of Rights or Voting Shares and upon the sole authority of the Board of Directors acting in good faith, this Agreement may be supplemented, amended or restated from time to time as provided herein; and</w:t>
      </w:r>
    </w:p>
    <w:p>
      <w:pPr>
        <w:pStyle w:val="TextBody"/>
        <w:bidi w:val="0"/>
        <w:spacing w:before="200" w:after="200"/>
        <w:ind w:left="1440" w:right="0" w:hanging="0"/>
        <w:jc w:val="both"/>
        <w:rPr/>
      </w:pPr>
      <w:r>
        <w:rPr/>
        <w:t>(g) that notwithstanding anything in this Agreement to the contrary, neither the Corporation nor the Rights Agent shall have any liability to any holder of a Right or any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50" w:name="page_35"/>
      <w:bookmarkEnd w:id="50"/>
      <w:r>
        <w:rPr>
          <w:b/>
        </w:rPr>
        <w:t>2.11</w:t>
      </w:r>
      <w:r>
        <w:rPr/>
        <w:t> </w:t>
      </w:r>
      <w:r>
        <w:rPr>
          <w:b/>
        </w:rPr>
        <w:t>Exclusion of Warranty by Rights Agent</w:t>
      </w:r>
    </w:p>
    <w:p>
      <w:pPr>
        <w:pStyle w:val="TextBody"/>
        <w:bidi w:val="0"/>
        <w:spacing w:before="200" w:after="200"/>
        <w:ind w:left="1440" w:right="0" w:hanging="0"/>
        <w:jc w:val="both"/>
        <w:rPr/>
      </w:pPr>
      <w:r>
        <w:rPr/>
        <w:t>(a) The Rights Agent shall have no obligation under this Agreement to ensure or verify compliance with any applicable laws or regulatory requirements on the issue, exercise or transfer of any Rights or Common Shares issuable upon the exercise thereof. The Rights Agent shall be entitled to process all proffered transfers and exercises of Rights upon the presumption that such transfers or exercises are permissible pursuant to all applicable laws and regulatory requirements.</w:t>
      </w:r>
    </w:p>
    <w:p>
      <w:pPr>
        <w:pStyle w:val="TextBody"/>
        <w:bidi w:val="0"/>
        <w:spacing w:before="200" w:after="200"/>
        <w:ind w:left="1440" w:right="0" w:hanging="0"/>
        <w:jc w:val="both"/>
        <w:rPr/>
      </w:pPr>
      <w:r>
        <w:rPr/>
        <w:t>(b) The Rights Agent may assume for the purposes of this Agreement that any address on the Rights Register is the holder's actual address and is determinative as to residency and that the address of any transferee to whom any Rights are to be registered, as shown on the transfer document, is the transferee's residency.</w:t>
      </w:r>
    </w:p>
    <w:p>
      <w:pPr>
        <w:pStyle w:val="TextBody"/>
        <w:bidi w:val="0"/>
        <w:spacing w:before="200" w:after="200"/>
        <w:ind w:left="1440" w:right="0" w:hanging="0"/>
        <w:jc w:val="both"/>
        <w:rPr/>
      </w:pPr>
      <w:r>
        <w:rPr/>
        <w:t>(c) The Rights Agent shall have no obligation to ensure that the legends appearing on the Rights Certificates or Common Shares comply with the regulatory requirements or securities laws of any applicable jurisdiction.</w:t>
      </w:r>
    </w:p>
    <w:p>
      <w:pPr>
        <w:pStyle w:val="TextBody"/>
        <w:bidi w:val="0"/>
        <w:spacing w:before="200" w:after="200"/>
        <w:jc w:val="center"/>
        <w:rPr/>
      </w:pPr>
      <w:r>
        <w:rPr>
          <w:b/>
        </w:rPr>
        <w:t>ARTICLE 3</w:t>
      </w:r>
      <w:r>
        <w:rPr/>
        <w:br/>
      </w:r>
      <w:r>
        <w:rPr>
          <w:b/>
        </w:rPr>
        <w:t>ADJUSTMENTS TO THE RIGHTS</w:t>
      </w:r>
    </w:p>
    <w:p>
      <w:pPr>
        <w:pStyle w:val="TextBody"/>
        <w:bidi w:val="0"/>
        <w:spacing w:before="200" w:after="200"/>
        <w:ind w:left="720" w:right="0" w:hanging="0"/>
        <w:jc w:val="both"/>
        <w:rPr/>
      </w:pPr>
      <w:r>
        <w:rPr>
          <w:b/>
        </w:rPr>
        <w:t>3.1</w:t>
      </w:r>
      <w:r>
        <w:rPr/>
        <w:t> </w:t>
      </w:r>
      <w:r>
        <w:rPr>
          <w:b/>
        </w:rPr>
        <w:t>Flip-in Event</w:t>
      </w:r>
    </w:p>
    <w:p>
      <w:pPr>
        <w:pStyle w:val="TextBody"/>
        <w:bidi w:val="0"/>
        <w:spacing w:before="200" w:after="200"/>
        <w:ind w:left="1440" w:right="0" w:hanging="0"/>
        <w:jc w:val="both"/>
        <w:rPr/>
      </w:pPr>
      <w:r>
        <w:rPr/>
        <w:t>(a) Subject to Subsection 3.1(b) and Section 5.1, in the event that prior to the Expiration Time a Flip-in Event occurs, each Right shall thereafter constitute, effective from and after the Close of Business on the tenth Trading Day following the Share Acquisition Date, the right to purchase from the Corporation, upon exercise thereof in accordance with the terms hereof, that number of Common Shares as have an aggregate Market Price on the date of the consummation or occurrence of such Flip-in Event equal to twice the Exercise Price for an amount in cash equal to the Exercise Price (such right to be appropriately adjusted in a manner analogous to the applicable adjustment provided for in Section 2.3 if, after such date of consummation or occurrence, an event of a type analogous to any of the events described in Section 2.3 shall have occurred with respect to such Common Shares).</w:t>
      </w:r>
    </w:p>
    <w:p>
      <w:pPr>
        <w:pStyle w:val="TextBody"/>
        <w:bidi w:val="0"/>
        <w:spacing w:before="200" w:after="200"/>
        <w:ind w:left="1440" w:right="0" w:hanging="0"/>
        <w:jc w:val="both"/>
        <w:rPr/>
      </w:pPr>
      <w:r>
        <w:rPr/>
        <w:t>(b) Notwithstanding anything in this Agreement to the contrary but subject to Section 5.1, upon the occurrence of any Flip-in Event, any Rights that are or were Beneficially Owned on or after the earlier of the Separation Time and the Share Acquisition Date, or which may thereafter be Beneficially Owned, by:</w:t>
      </w:r>
    </w:p>
    <w:p>
      <w:pPr>
        <w:pStyle w:val="TextBody"/>
        <w:bidi w:val="0"/>
        <w:spacing w:before="200" w:after="200"/>
        <w:ind w:left="2160" w:right="0" w:hanging="0"/>
        <w:jc w:val="both"/>
        <w:rPr/>
      </w:pPr>
      <w:r>
        <w:rPr/>
        <w:t>(i) an Acquiring Person, any Affiliate or Associate of an Acquiring Person, any other Person acting jointly or in concert with an Acquiring Person or any Affiliate or Associate of an Acquiring Person (or any Affiliate or Associate of any such Person so acting jointly and in concert); or</w:t>
      </w:r>
    </w:p>
    <w:p>
      <w:pPr>
        <w:pStyle w:val="TextBody"/>
        <w:bidi w:val="0"/>
        <w:spacing w:before="200" w:after="200"/>
        <w:ind w:left="2160" w:right="0" w:hanging="0"/>
        <w:jc w:val="both"/>
        <w:rPr/>
      </w:pPr>
      <w:r>
        <w:rPr/>
        <w:t>(ii) a transferee, direct or indirect, of an Acquiring Person, any Affiliate or Associate of an Acquiring Person, any other Person acting jointly or in concert with an Acquiring Person or any Affiliate or Associate of an Acquiring Person (or any Affiliate or Associate of any such Person so acting jointly and in concert), in a transfer of Rights occurring subsequent to the Acquiring Person becoming such,</w:t>
      </w:r>
    </w:p>
    <w:p>
      <w:pPr>
        <w:pStyle w:val="TextBody"/>
        <w:bidi w:val="0"/>
        <w:spacing w:before="200" w:after="200"/>
        <w:ind w:left="1440" w:right="0" w:hanging="0"/>
        <w:jc w:val="both"/>
        <w:rPr/>
      </w:pPr>
      <w:r>
        <w:rPr/>
        <w:t>shall become null and void without any further action and any holder of such Rights (including any transferee of, or other successor entitled to, such Rights, whether directly or indirectly) shall thereafter have no right to exercise such Rights under any provisions of this Agreement and, further, shall thereafter not have any rights whatsoever with respect to such Rights, whether under any provision of this Agreement or otherwise. The holder of any Rights represented by a Rights Certificate which is submitted to the Rights Agent upon exercise or for registration of transfer or exchange which does not contain the necessary certifications set forth in the Rights Certificate establishing that such Rights are not void under this Subsection 3.1(b) shall be deemed to be an Acquiring Person for the purposes of this Subsection 3.1(b) and such Rights shall become null and void.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51" w:name="page_36"/>
      <w:bookmarkEnd w:id="51"/>
      <w:r>
        <w:rPr/>
        <w:t>(c) Any Rights Certificate that represents Rights Beneficially Owned by a Person described in either of Subsections 3.1(b)(i) or 3.1(b)(ii) or transferred to any Nominee of any such Person, and any Rights Certificate issued upon transfer, exchange, replacement or adjustment of any other Rights Certificate referred to in this sentence, shall contain or will be deemed to contain the following legend:</w:t>
      </w:r>
    </w:p>
    <w:p>
      <w:pPr>
        <w:pStyle w:val="TextBody"/>
        <w:bidi w:val="0"/>
        <w:spacing w:before="200" w:after="200"/>
        <w:ind w:left="2160" w:right="2160" w:hanging="0"/>
        <w:jc w:val="both"/>
        <w:rPr/>
      </w:pPr>
      <w:r>
        <w:rPr/>
        <w:t>"The Rights represented by this Rights Certificate were issued to a Person who was an Acquiring Person or an Affiliate or Associate of an Acquiring Person (as such terms are defined in the Rights Agreement) or acting jointly or in concert with any of them. This Rights Certificate and the Rights represented hereby shall be void in the circumstances specified in Subsection 3.1(b) of the Rights Agreement."</w:t>
      </w:r>
    </w:p>
    <w:p>
      <w:pPr>
        <w:pStyle w:val="TextBody"/>
        <w:bidi w:val="0"/>
        <w:spacing w:before="200" w:after="200"/>
        <w:ind w:left="1440" w:right="0" w:hanging="0"/>
        <w:jc w:val="both"/>
        <w:rPr/>
      </w:pPr>
      <w:r>
        <w:rPr/>
        <w:t>The Rights Agent shall not be under any responsibility to ascertain the existence of facts that would require the imposition of such legend but shall be required to impose such legend only if instructed to do so in writing by the Corporation or if a holder fails to certify upon transfer or exchange in the space provided to do so. The issuance of a Rights Certificate without the legend referred to in this Subsection 3.1(c) shall have no effect on the provisions of Subsection 3.1(b).</w:t>
      </w:r>
    </w:p>
    <w:p>
      <w:pPr>
        <w:pStyle w:val="TextBody"/>
        <w:bidi w:val="0"/>
        <w:spacing w:before="200" w:after="200"/>
        <w:ind w:left="1440" w:right="0" w:hanging="0"/>
        <w:jc w:val="both"/>
        <w:rPr/>
      </w:pPr>
      <w:r>
        <w:rPr/>
        <w:t xml:space="preserve">(d) After the Separation Time, the Corporation shall do all such acts and things necessary and within its power to ensure compliance with the provisions of this Section 3.1 including, without limitation, all such acts and things as may be required to satisfy the requirements of the BCA, the </w:t>
      </w:r>
      <w:r>
        <w:rPr>
          <w:i/>
        </w:rPr>
        <w:t>U.S. Exchange Act</w:t>
      </w:r>
      <w:r>
        <w:rPr/>
        <w:t xml:space="preserve">, the </w:t>
      </w:r>
      <w:r>
        <w:rPr>
          <w:i/>
        </w:rPr>
        <w:t>U.S. Securities Act</w:t>
      </w:r>
      <w:r>
        <w:rPr/>
        <w:t xml:space="preserve">, the </w:t>
      </w:r>
      <w:r>
        <w:rPr>
          <w:i/>
        </w:rPr>
        <w:t xml:space="preserve">Securities Act </w:t>
      </w:r>
      <w:r>
        <w:rPr/>
        <w:t>(Ontario) and the securities laws or comparable legislation in each of the other provinces and territories of Canada and in any other jurisdiction where the Corporation is subject to such laws and the rules of each Exchange in respect of the issue of Common Shares upon the exercise of Rights in accordance with this Agreement.</w:t>
      </w:r>
    </w:p>
    <w:p>
      <w:pPr>
        <w:pStyle w:val="TextBody"/>
        <w:bidi w:val="0"/>
        <w:spacing w:before="200" w:after="200"/>
        <w:ind w:left="720" w:right="0" w:hanging="0"/>
        <w:jc w:val="both"/>
        <w:rPr/>
      </w:pPr>
      <w:r>
        <w:rPr>
          <w:b/>
        </w:rPr>
        <w:t>3.2</w:t>
      </w:r>
      <w:r>
        <w:rPr/>
        <w:t> </w:t>
      </w:r>
      <w:r>
        <w:rPr>
          <w:b/>
        </w:rPr>
        <w:t>Exchange</w:t>
      </w:r>
    </w:p>
    <w:p>
      <w:pPr>
        <w:pStyle w:val="TextBody"/>
        <w:bidi w:val="0"/>
        <w:spacing w:before="200" w:after="200"/>
        <w:ind w:left="1440" w:right="0" w:hanging="0"/>
        <w:jc w:val="both"/>
        <w:rPr/>
      </w:pPr>
      <w:r>
        <w:rPr/>
        <w:t>(a) The Board of Directors may, at its option, at any time after a Flip-in Event, exchange all or part of the then outstanding and exercisable Rights (which will not include Rights that have become null and void pursuant to the provisions of Section 3.1(b)) for Common Shares at an exchange ratio of one Common Share per Right, appropriately adjusted to reflect any stock split, stock dividend, recapitalization or similar transaction occurring in respect of the Common Shares (such exchange ratio, the "</w:t>
      </w:r>
      <w:r>
        <w:rPr>
          <w:b/>
        </w:rPr>
        <w:t>Exchange Ratio</w:t>
      </w:r>
      <w:r>
        <w:rPr/>
        <w:t>", and such determination by the Board of Directors to effect such exchange, an "</w:t>
      </w:r>
      <w:r>
        <w:rPr>
          <w:b/>
        </w:rPr>
        <w:t>Exchange Determination</w:t>
      </w:r>
      <w:r>
        <w:rPr/>
        <w:t>"). Notwithstanding the foregoing, the Board of Directors will not be empowered to effect an Exchange Determination at any time after  any Acquiring Person, together with all Affiliates and Associates of such Acquiring Person, becomes the Beneficial Owner of 50% or more of the Common Shares then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52" w:name="page_37"/>
      <w:bookmarkEnd w:id="52"/>
      <w:r>
        <w:rPr/>
        <w:t>(b) Immediately following an Exchange Determination and without any further action or notice, the right to exercise the Rights subject to such Exchange Determination (other than Rights that have become null and void pursuant to the provisions of Section 3.1(b)) will terminate and the only right thereafter of a holder of such Rights is to receive that number of Common Shares equal to the number of Rights held by such holder multiplied by the Exchange Ratio. The Corporation will promptly give public notice of any such Exchange Determination (with prompt written notice thereof also provided to the Rights Agent), and thereafter will promptly give, or cause to be given, notice of such exchange to the holders of the then-outstanding Rights (other than Rights that have become null and void pursuant to the provisions of Section 3.1(b)) by sending such notice, in accordance with Section 5.9, with any notice that is so provided deemed to be given whether or not the holder receives the notice. Each such notice of exchange must state the effective date of the exchange of Rights into Common Shares, the method by which the exchange of Common Shares for Rights is to be effected (including the actions that must be taken by the holders of Rights to receive Common Shares in exchange for Rights) and, in the event of any partial exchange, the number of Rights that are to be exchanged. Any partial exchange will be effected pro rata based on the number of Rights (other than Rights that have become null and void pursuant to the provisions of Section 3.1(b)) held by each holder of Rights. Following an Exchange Determination, the Corporation may implement such procedures as it deems appropriate, in its sole discretion, to minimize the possibility that any Common Shares (or other consideration) issuable pursuant to this Section 3.2 are received by Persons whose Rights are null and void pursuant to Section 3.1(b). Prior to effecting any exchange, the Corporation may require, or cause the trustee of the Trust (if such a Trust is established pursuant to Section 3.2(c) below) to require, as a condition thereof, that any registered holder of Rights provide such evidence (including the identity of the Beneficial Owner (or former Beneficial Owner) thereof and the Affiliates or Associates of such Beneficial Owner or former Beneficial Owner) as the Corporation may reasonably request in order to determine if such Rights are null and void pursuant to Section 3.1(b). If such registered holder does not comply with the foregoing requirements, then the Corporation will be entitled to conclusively deem such Rights to be Beneficially Owned by an Acquiring Person (or an Affiliate or Associate of an Acquiring Person, or any nominee of any of the foregoing) and, accordingly, such Rights will be null and void and not exchangeable in connection herewith. Any Common Shares issued at the direction of the Board in connection with an Exchange Determination will be duly and validly authorized and issued and fully paid and nonassessable, and the Corporation will be deemed to have received as consideration for such issuance a benefit having a value that is at least equal to the aggregate par value of the Common Shares so issued. The failure to give, or any defect in, any notice required by this Section 3.2 will not affect the legality or validity of the action taken by the Board or of such exchange.</w:t>
      </w:r>
    </w:p>
    <w:p>
      <w:pPr>
        <w:pStyle w:val="TextBody"/>
        <w:bidi w:val="0"/>
        <w:spacing w:before="200" w:after="200"/>
        <w:ind w:left="1440" w:right="0" w:hanging="0"/>
        <w:jc w:val="both"/>
        <w:rPr/>
      </w:pPr>
      <w:r>
        <w:rPr/>
        <w:t>(c) The exchange of the Rights pursuant to Section 3.2(a) may be made effective at such time, on such basis and with such conditions as the Board of Directors, in its sole discretion, may establish. Without limiting the foregoing, prior to effecting an exchange pursuant to Section 3.2(a), the Board of Directors may direct the Corporation to enter into a trust agreement in such form and with such terms as the Board of Directors approves (the "</w:t>
      </w:r>
      <w:r>
        <w:rPr>
          <w:b/>
        </w:rPr>
        <w:t>Trust Agreement</w:t>
      </w:r>
      <w:r>
        <w:rPr/>
        <w:t>"). If the Board of Directors so directs, then the Corporation must enter into the Trust Agreement and must issue to the trust created by such agreement (the "</w:t>
      </w:r>
      <w:r>
        <w:rPr>
          <w:b/>
        </w:rPr>
        <w:t>Trust</w:t>
      </w:r>
      <w:r>
        <w:rPr/>
        <w:t>") all of the Common Shares (or other consideration) issuable pursuant to the exchange (or any portion thereof that has not previously been issued in connection with the exchange). From and after the time at which such Common Shares (or other consideration) are issued to the Trust, all shareholders then entitled to receive Common Shares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53" w:name="page_38"/>
      <w:bookmarkEnd w:id="53"/>
      <w:r>
        <w:rPr>
          <w:b/>
        </w:rPr>
        <w:t>3.3</w:t>
      </w:r>
      <w:r>
        <w:rPr/>
        <w:t> </w:t>
      </w:r>
      <w:r>
        <w:rPr>
          <w:b/>
        </w:rPr>
        <w:t>Fiduciary Duties of the Board of Directors</w:t>
      </w:r>
    </w:p>
    <w:p>
      <w:pPr>
        <w:pStyle w:val="TextBody"/>
        <w:bidi w:val="0"/>
        <w:spacing w:before="200" w:after="200"/>
        <w:jc w:val="both"/>
        <w:rPr/>
      </w:pPr>
      <w:r>
        <w:rPr/>
        <w:t>For clarification it is understood that nothing contained in this Article 3 shall be considered to affect the obligations of the Board of Directors to exercise its fiduciary duties. Without limiting the generality of the foregoing, nothing contained herein shall be construed to suggest or imply that the Board of Directors shall not be entitled to recommend that holders of the Voting Shares reject or accept any Take-over Bid or take any other action including, without limitation, the commencement, prosecution, defence or settlement of any litigation and the submission of additional or alternative Take-over Bids or other proposals to the shareholders of the Corporation with respect to any Take-over Bid or otherwise that the Board of Directors believes is necessary or appropriate in the exercise of its fiduciary duties.</w:t>
      </w:r>
    </w:p>
    <w:p>
      <w:pPr>
        <w:pStyle w:val="TextBody"/>
        <w:bidi w:val="0"/>
        <w:spacing w:before="200" w:after="200"/>
        <w:jc w:val="center"/>
        <w:rPr/>
      </w:pPr>
      <w:r>
        <w:rPr>
          <w:b/>
        </w:rPr>
        <w:t>ARTICLE 4</w:t>
      </w:r>
      <w:r>
        <w:rPr/>
        <w:br/>
      </w:r>
      <w:r>
        <w:rPr>
          <w:b/>
        </w:rPr>
        <w:t>THE RIGHTS AGENT</w:t>
      </w:r>
    </w:p>
    <w:p>
      <w:pPr>
        <w:pStyle w:val="TextBody"/>
        <w:bidi w:val="0"/>
        <w:spacing w:before="200" w:after="200"/>
        <w:ind w:left="720" w:right="0" w:hanging="0"/>
        <w:jc w:val="both"/>
        <w:rPr/>
      </w:pPr>
      <w:r>
        <w:rPr>
          <w:b/>
        </w:rPr>
        <w:t>4.1</w:t>
      </w:r>
      <w:r>
        <w:rPr/>
        <w:t> </w:t>
      </w:r>
      <w:r>
        <w:rPr>
          <w:b/>
        </w:rPr>
        <w:t>General</w:t>
      </w:r>
    </w:p>
    <w:p>
      <w:pPr>
        <w:pStyle w:val="TextBody"/>
        <w:bidi w:val="0"/>
        <w:spacing w:before="200" w:after="200"/>
        <w:ind w:left="1440" w:right="0" w:hanging="0"/>
        <w:jc w:val="both"/>
        <w:rPr/>
      </w:pPr>
      <w:r>
        <w:rPr/>
        <w:t>(a) The Corporation hereby appoints the Rights Agent to act as agent for the Corporation and the holders of the Rights in accordance with the terms and conditions hereof, and the Rights Agent hereby accepts such appointment. The Corporation may from time to time appoint one or more co-rights agents (each, a "</w:t>
      </w:r>
      <w:r>
        <w:rPr>
          <w:b/>
        </w:rPr>
        <w:t>Co-Rights Agent</w:t>
      </w:r>
      <w:r>
        <w:rPr/>
        <w:t>") as it may deem necessary or desirable, subject to the prior approval of the Rights Agent. In the event the Corporation appoints one or more Co-Rights Agents, the respective duties of the Rights Agent and Co-Rights Agents shall be as the Corporation may determine with the approval of the Rights Agent and the Co-Rights Agent. The Corporation agrees to pay to the Rights Agent reasonable compensation for all services rendered by it hereunder and, from time to time, on demand of the Rights Agent, its reasonably incurred expenses and other disbursements in the administration and execution of this Agreement and the exercise and performance of its duties hereunder, including the reasonable fees and disbursements of counsel and other experts and advisors consulted by the Rights Agent pursuant to Subsection 4.3(a). The Corporation also agrees to indemnify the Rights Agent and its Affiliates and each of their directors, officers, employees, agents and shareholders for, and to hold each of them harmless against, any loss, liability, cost, claim, action, suit, damage, penalty, demand, levy, disbursement or expense, incurred without gross negligence, bad faith or wilful misconduct on the part of the Rights Agent, which may at any time be suffered by, imposed on, incurred by or asserted against the Rights Agent, whether groundless or otherwise, howsoever arising directly or indirectly for anything done or omitted by the Rights Agent, including for any error of judgment made by it, in connection with the acceptance and administration of this Agreement, including without limitation the costs and expenses of defending against any claim of liability. This right to indemnification will survive the termination of this Agreement or the resignation or removal of the Rights Agent.</w:t>
      </w:r>
    </w:p>
    <w:p>
      <w:pPr>
        <w:pStyle w:val="TextBody"/>
        <w:bidi w:val="0"/>
        <w:spacing w:before="200" w:after="200"/>
        <w:ind w:left="1440" w:right="0" w:hanging="0"/>
        <w:jc w:val="both"/>
        <w:rPr/>
      </w:pPr>
      <w:r>
        <w:rPr/>
        <w:t>(b) The Rights Agent shall be protected and shall incur no liability for or in respect of any action taken, suffered or omitted by it in connection with its administration of this Agreement in reliance upon share registration confirmed in writing by the transfer agent of the Corporation, any certificate for Common Shares, Rights Certificate, certificate or other evidence of ownership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The Rights Agent need not investigate any fact or matter stated in any such document, but it may, in its discretion, make such further inquiry or investigation into such facts or matters as it may see 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54" w:name="page_39"/>
      <w:bookmarkEnd w:id="54"/>
      <w:r>
        <w:rPr/>
        <w:t>(c) The Corporation shall inform the Rights Agent in a reasonably timely manner of events which may materially affect the administration of this Agreement by the Rights Agent and, at any time upon request, shall provide to the Rights Agent an incumbency certificate certifying the then current officers of the Corporation.</w:t>
      </w:r>
    </w:p>
    <w:p>
      <w:pPr>
        <w:pStyle w:val="TextBody"/>
        <w:bidi w:val="0"/>
        <w:spacing w:before="200" w:after="200"/>
        <w:ind w:left="1440" w:right="0" w:hanging="0"/>
        <w:jc w:val="both"/>
        <w:rPr/>
      </w:pPr>
      <w:r>
        <w:rPr/>
        <w:t>(d) No provision contained in this Agreement shall require the Rights Agent to expend or risk its own funds or otherwise incur liability in the performance of any of its duties or in the exercise of any of its rights or powers under this Agreement.</w:t>
      </w:r>
    </w:p>
    <w:p>
      <w:pPr>
        <w:pStyle w:val="TextBody"/>
        <w:bidi w:val="0"/>
        <w:spacing w:before="200" w:after="200"/>
        <w:ind w:left="720" w:right="0" w:hanging="0"/>
        <w:jc w:val="both"/>
        <w:rPr/>
      </w:pPr>
      <w:r>
        <w:rPr>
          <w:b/>
        </w:rPr>
        <w:t>4.2</w:t>
      </w:r>
      <w:r>
        <w:rPr/>
        <w:t> </w:t>
      </w:r>
      <w:r>
        <w:rPr>
          <w:b/>
        </w:rPr>
        <w:t>Merger, Amalgamation, Consolidation or Change of Name of Rights Agent</w:t>
      </w:r>
    </w:p>
    <w:p>
      <w:pPr>
        <w:pStyle w:val="TextBody"/>
        <w:bidi w:val="0"/>
        <w:spacing w:before="200" w:after="200"/>
        <w:ind w:left="1440" w:right="0" w:hanging="0"/>
        <w:jc w:val="both"/>
        <w:rPr/>
      </w:pPr>
      <w:r>
        <w:rPr/>
        <w:t>(a) Any corporation into which the Rights Agent or any successor Rights Agent may be merged or amalgamated or with which it may be consolidated, or any corporation resulting from any merger, amalgamation or consolidation to which the Rights Agent or any successor Rights Agent is a party, or any corporation succeeding to the shareholder or stockholder services business of the Rights Agent or any successor Rights Agent, will be the successor to the Rights Agent under this Agreement without the execution or filing of any document or any further act on the part of any of the parties hereto; provided that such corporation would be eligible for appointment as a successor Rights Agent under the provisions of Section 4.5. In case at the time such successor Rights Agent succeeds to the agency created by this Agreement any of the Rights Certificates have been countersigned but not delivered any such successor Rights Agent may adopt the countersignature of the predecessor Rights Agent and deliver such Rights Certificates so countersigned; and in case at that time any of the Rights Certificates have not been countersigned, any successor Rights Agent may countersign such Rights Certificates either in the name of the predecessor Rights Agent or in the name of the successor Rights Agent; and in all such cases such Rights Certificates will have the full force provided in the Rights Certificates and in this Agreement.</w:t>
      </w:r>
    </w:p>
    <w:p>
      <w:pPr>
        <w:pStyle w:val="TextBody"/>
        <w:bidi w:val="0"/>
        <w:spacing w:before="200" w:after="200"/>
        <w:ind w:left="1440" w:right="0" w:hanging="0"/>
        <w:jc w:val="both"/>
        <w:rPr/>
      </w:pPr>
      <w:r>
        <w:rPr/>
        <w:t>(b) 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pStyle w:val="TextBody"/>
        <w:bidi w:val="0"/>
        <w:spacing w:before="200" w:after="200"/>
        <w:ind w:left="720" w:right="0" w:hanging="0"/>
        <w:jc w:val="both"/>
        <w:rPr/>
      </w:pPr>
      <w:r>
        <w:rPr>
          <w:b/>
        </w:rPr>
        <w:t>4.3</w:t>
      </w:r>
      <w:r>
        <w:rPr/>
        <w:t> </w:t>
      </w:r>
      <w:r>
        <w:rPr>
          <w:b/>
        </w:rPr>
        <w:t>Duties of Rights Agent</w:t>
      </w:r>
    </w:p>
    <w:p>
      <w:pPr>
        <w:pStyle w:val="TextBody"/>
        <w:bidi w:val="0"/>
        <w:spacing w:before="200" w:after="200"/>
        <w:jc w:val="both"/>
        <w:rPr/>
      </w:pPr>
      <w:r>
        <w:rPr/>
        <w:t>The Rights Agent undertakes the duties and obligations imposed by this Agreement upon the following terms and conditions, by all of which the Corporation and the holders of Rights Certificates, by their acceptance thereof, shall be bound: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55" w:name="page_40"/>
      <w:bookmarkEnd w:id="55"/>
      <w:r>
        <w:rPr/>
        <w:t>(a) the Rights Agent may retain and consult with legal counsel, at the reasonable expense of the Corporation, (who may be legal counsel for the Corporation) and the opinion of such counsel will be full and complete authorization and protection to the Rights Agent as to any action taken or omitted by it in good faith and in accordance with such opinion; the Rights Agent may also, upon prior written notice to the Corporation, and at the expense of the Corporation, consult with such other experts and advisors as the Rights Agent shall consider necessary or appropriate to properly carry out the duties and obligations imposed under this Agreement and the Rights Agent shall be entitled to act and rely, and shall be protected in so acting and relying, in good faith on the advice of any such expert or advisor;</w:t>
      </w:r>
    </w:p>
    <w:p>
      <w:pPr>
        <w:pStyle w:val="TextBody"/>
        <w:bidi w:val="0"/>
        <w:spacing w:before="200" w:after="200"/>
        <w:ind w:left="1440" w:right="0" w:hanging="0"/>
        <w:jc w:val="both"/>
        <w:rPr/>
      </w:pPr>
      <w:r>
        <w:rPr/>
        <w:t>(b) whenever in the performance of its duties under this Agreement the Rights Agent deems it necessary or desirable that any fact or matter be proved or established by the Corporation prior to taking, refraining from taking or suffering any action hereunder, such fact or matter (unless other evidence in respect thereof be herein specifically prescribed) may be deemed to be conclusively proved and established by a certificate signed by a Person believed by the Rights Agent to be the Chief Executive Officer, President, Chief Financial Officer or Secretary or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pStyle w:val="TextBody"/>
        <w:bidi w:val="0"/>
        <w:spacing w:before="200" w:after="200"/>
        <w:ind w:left="1440" w:right="0" w:hanging="0"/>
        <w:jc w:val="both"/>
        <w:rPr/>
      </w:pPr>
      <w:r>
        <w:rPr/>
        <w:t>(c) the Rights Agent will be liable hereunder for its own gross negligence, bad faith or wilful misconduct and that of its officers, directors and employees;</w:t>
      </w:r>
    </w:p>
    <w:p>
      <w:pPr>
        <w:pStyle w:val="TextBody"/>
        <w:bidi w:val="0"/>
        <w:spacing w:before="200" w:after="200"/>
        <w:ind w:left="1440" w:right="0" w:hanging="0"/>
        <w:jc w:val="both"/>
        <w:rPr/>
      </w:pPr>
      <w:r>
        <w:rPr/>
        <w:t>(d) the Rights Agent will not be liable for or by reason of any of the statements of fact or recitals contained in this Agreement or in the certificates for Common Shares, or the Rights Certificates (except its countersignature thereof which countersignature shall not be construed as a representation or warranty by the Rights Agent as to the validity of this Agreement or the Rights Certificate(s), except the due certification thereof) or be required to verify the same, and all such statements and recitals are and will be deemed to have been made by the Corporation only;</w:t>
      </w:r>
    </w:p>
    <w:p>
      <w:pPr>
        <w:pStyle w:val="TextBody"/>
        <w:bidi w:val="0"/>
        <w:spacing w:before="200" w:after="200"/>
        <w:ind w:left="1440" w:right="0" w:hanging="0"/>
        <w:jc w:val="both"/>
        <w:rPr/>
      </w:pPr>
      <w:r>
        <w:rPr/>
        <w:t>(e) the Rights Agent will not be under any responsibility in respect of the validity of this Agreement or the execution and delivery hereof (except the due authorization, execution and delivery hereof by the Rights Agent) or in respect of the validity or execution of any Common Share certificate, or Rights Certificate (except its countersignature thereof, which countersignature shall not be construed as a representation or warranty by the Rights Agent as to the validity of this Agreement or the Rights Certificate(s), except the due certification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or any adjustment required under the provisions of Section 2.3, or responsible for the manner, method or amount of any such adjustment, nor will it be responsible for the ascertaining of the existence of facts that would require any such adjustment (except with respect to the exercise of Rights after receipt of the certificate contemplated by Section 2.3 describing any such adjustment or any written notice from the Corporation or any holder that a Person has become an Acquiring Person); nor will it by any act hereunder be deemed to make any representation or warranty as to the authorization of any Common Shares to be issued pursuant to this Agreement or any Rights or as to any Common Shares, when issued, being duly and validly authorized, executed, issued and delivered as fully paid and non-assessable;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56" w:name="page_41"/>
      <w:bookmarkEnd w:id="56"/>
      <w:r>
        <w:rPr/>
        <w:t>(f) 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pStyle w:val="TextBody"/>
        <w:bidi w:val="0"/>
        <w:spacing w:before="200" w:after="200"/>
        <w:ind w:left="1440" w:right="0" w:hanging="0"/>
        <w:jc w:val="both"/>
        <w:rPr/>
      </w:pPr>
      <w:r>
        <w:rPr/>
        <w:t>(g) the Rights Agent is hereby authorized and directed to accept instructions with respect to the performance of its duties hereunder from any individual designated in writing by the Corporation and believed by the Rights Agent to be the Chief Executive Officer, President, Chief Financial Officer or Secretary or Assistant Secretary of the Corporation, and to apply to such individuals for advice or instructions in connection with its duties, and it shall not be liable for any action taken or suffered by it in good faith in accordance with instructions of any such individual; it is understood that instructions to the Rights Agent shall, except where circumstances make it impractical or the Rights Agent otherwise agrees, be given in writing (including by email) and, where not in writing, such instructions shall be confirmed in writing (including by email) as soon as reasonably practicable after the giving of such instructions;</w:t>
      </w:r>
    </w:p>
    <w:p>
      <w:pPr>
        <w:pStyle w:val="TextBody"/>
        <w:bidi w:val="0"/>
        <w:spacing w:before="200" w:after="200"/>
        <w:ind w:left="1440" w:right="0" w:hanging="0"/>
        <w:jc w:val="both"/>
        <w:rPr/>
      </w:pPr>
      <w:r>
        <w:rPr/>
        <w:t>(h) the Rights Agent and any shareholder or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the Rights Agent under this Agreement. Nothing herein shall preclude the Rights Agent from acting in any other capacity for the Corporation or for any other legal entity, provided such actions would not place the Rights Agent in a position of conflict of interest with respect to its duties under this Agreement; and</w:t>
      </w:r>
    </w:p>
    <w:p>
      <w:pPr>
        <w:pStyle w:val="TextBody"/>
        <w:bidi w:val="0"/>
        <w:spacing w:before="200" w:after="200"/>
        <w:ind w:left="1440" w:right="0" w:hanging="0"/>
        <w:jc w:val="both"/>
        <w:rPr/>
      </w:pPr>
      <w:r>
        <w:rPr/>
        <w:t>(i) the Rights Agent may execute and exercise any of the rights or powers hereby vested in it or perform any duty hereunder either itself or by or through its attorneys or agents, and the Rights Agent will not be answerable or accountable for any act, omission, default, neglect or misconduct of any such attorneys or agents or for any loss to the Corporation resulting from any such act, omission, default, neglect or misconduct; provided reasonable care was exercised in the selection and continued employment thereof.</w:t>
      </w:r>
    </w:p>
    <w:p>
      <w:pPr>
        <w:pStyle w:val="TextBody"/>
        <w:bidi w:val="0"/>
        <w:spacing w:before="200" w:after="200"/>
        <w:ind w:left="720" w:right="0" w:hanging="0"/>
        <w:jc w:val="both"/>
        <w:rPr/>
      </w:pPr>
      <w:r>
        <w:rPr>
          <w:b/>
        </w:rPr>
        <w:t>4.4</w:t>
      </w:r>
      <w:r>
        <w:rPr/>
        <w:t> </w:t>
      </w:r>
      <w:r>
        <w:rPr>
          <w:b/>
        </w:rPr>
        <w:t>Liability</w:t>
      </w:r>
    </w:p>
    <w:p>
      <w:pPr>
        <w:pStyle w:val="TextBody"/>
        <w:bidi w:val="0"/>
        <w:spacing w:before="200" w:after="200"/>
        <w:ind w:left="1440" w:right="0" w:hanging="0"/>
        <w:jc w:val="both"/>
        <w:rPr/>
      </w:pPr>
      <w:r>
        <w:rPr/>
        <w:t>(a) Notwithstanding any other provision of this Agreement, and whether such losses or damages are foreseeable or unforeseeable, the Rights Agent shall not be liable under any circumstances whatsoever for any (i) breach by any other party of securities law or other rule of any securities regulatory authority, (ii) lost profits or (iii) special, indirect, incidental, consequential, exemplary, aggravated or punitive losses or damages.</w:t>
      </w:r>
    </w:p>
    <w:p>
      <w:pPr>
        <w:pStyle w:val="TextBody"/>
        <w:bidi w:val="0"/>
        <w:spacing w:before="200" w:after="200"/>
        <w:ind w:left="1440" w:right="0" w:hanging="0"/>
        <w:jc w:val="both"/>
        <w:rPr/>
      </w:pPr>
      <w:r>
        <w:rPr/>
        <w:t>(b) Notwithstanding any other provision of this Agreement, any liability of the Rights Agent shall be limited, in the aggregate, to the aggregate amount of fees paid by the Corporation to the Rights Agent pursuant to this Agreement.</w:t>
      </w:r>
    </w:p>
    <w:p>
      <w:pPr>
        <w:pStyle w:val="TextBody"/>
        <w:bidi w:val="0"/>
        <w:spacing w:before="200" w:after="200"/>
        <w:ind w:left="720" w:right="0" w:hanging="0"/>
        <w:jc w:val="both"/>
        <w:rPr/>
      </w:pPr>
      <w:r>
        <w:rPr>
          <w:b/>
        </w:rPr>
        <w:t>4.5</w:t>
      </w:r>
      <w:r>
        <w:rPr/>
        <w:t> </w:t>
      </w:r>
      <w:r>
        <w:rPr>
          <w:b/>
        </w:rPr>
        <w:t>Change of Rights Agent</w:t>
      </w:r>
    </w:p>
    <w:p>
      <w:pPr>
        <w:pStyle w:val="TextBody"/>
        <w:bidi w:val="0"/>
        <w:spacing w:before="200" w:after="200"/>
        <w:jc w:val="both"/>
        <w:rPr/>
      </w:pPr>
      <w:r>
        <w:rPr/>
        <w:t>The Rights Agent may resign and be discharged from its duties under this Agreement by giving 60 days prior written notice (or such lesser notice as is acceptable to the Corporation) to the Corporation, to the transfer agent of Voting Shares and to the holders of the Rights following the Separation Time, all in accordance with Section 5.9 and at the expense of the Corporation. The Corporation may remove the Rights Agent by giving 30 days prior written notice to the Rights Agent, to the transfer agent of the Voting Shares and to the holders of the Rights in accordance with Section 5.9.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or by the holder of any Rights (which holder shall, with such notice, submit such holder's Rights Certificate for inspection of the Corporation), then the holder of any Rights or the predecessor Rights Agent (at the expense of the Corporation) may apply to any court of competent jurisdiction for the appointment of a new Rights Agent. Any successor Rights Agent, whether appointed by the Corporation or by such a court, must be a corporation incorporated under the laws of Canada or a province thereof and authorized to carry on the business of a trust company in the Province of Ontario. After appointment, the successor Rights Agent will be vested with the same powers, rights, duties and responsibilities as if it had been originally named as Rights Agent without further act or deed; but the predecessor Rights Agent, upon receiving all amounts owing to it hereunder (unless otherwise agreed by the Rights Agent), shall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the transfer agent of the Voting Shares and mail a notice thereof in writing to the holders of the Rights in accordance with Section 5.9. Failure to give any notice provided for in this Section 4.5, however, or any defect therein, shall not affect the legality or validity of the resignation or removal of the Rights Agent or the appointment of the successor Rights Agent,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57" w:name="page_42"/>
      <w:bookmarkEnd w:id="57"/>
      <w:r>
        <w:rPr>
          <w:b/>
        </w:rPr>
        <w:t>4.6</w:t>
      </w:r>
      <w:r>
        <w:rPr/>
        <w:t> </w:t>
      </w:r>
      <w:r>
        <w:rPr>
          <w:b/>
        </w:rPr>
        <w:t>Compliance with Anti-Money Laundering Legislation</w:t>
      </w:r>
    </w:p>
    <w:p>
      <w:pPr>
        <w:pStyle w:val="TextBody"/>
        <w:bidi w:val="0"/>
        <w:spacing w:before="200" w:after="200"/>
        <w:jc w:val="both"/>
        <w:rPr/>
      </w:pPr>
      <w:r>
        <w:rPr/>
        <w:t>The Rights Agent shall retain the right not to act and shall not be liable for refusing to act if, due to a lack of information or for any other reason whatsoever, the Rights Agent reasonably determines that such an act might cause it to be in non-compliance with any sanctions legislation or regulation or applicable anti-money laundering or anti-terrorist legislation, regulation or guidelines. Further, should the Rights Agent reasonably determine at any time that its acting under this Agreement has resulted in it being in non-compliance with any sanctions legislation or regulation or applicable anti-money laundering or anti-terrorist legislation, regulation or guidelines, then it shall have the right to resign on ten days' written notice to the Corporation; provided: (i) that the Rights Agent's written notice shall describe the circumstances of such non-compliance to the extent permitted by such sanctions legislation or regulation or applicable anti-money laundering or anti-terrorist legislation, regulation or guidelines; and (ii) that if such circumstances are rectified to the Rights Agent's satisfaction within such ten day period, then such resignation shall not be effective.</w:t>
      </w:r>
    </w:p>
    <w:p>
      <w:pPr>
        <w:pStyle w:val="TextBody"/>
        <w:bidi w:val="0"/>
        <w:spacing w:before="200" w:after="200"/>
        <w:ind w:left="720" w:right="0" w:hanging="0"/>
        <w:jc w:val="both"/>
        <w:rPr/>
      </w:pPr>
      <w:r>
        <w:rPr>
          <w:b/>
        </w:rPr>
        <w:t>4.7</w:t>
      </w:r>
      <w:r>
        <w:rPr/>
        <w:t> </w:t>
      </w:r>
      <w:r>
        <w:rPr>
          <w:b/>
        </w:rPr>
        <w:t>Privacy Legislation</w:t>
      </w:r>
    </w:p>
    <w:p>
      <w:pPr>
        <w:pStyle w:val="TextBody"/>
        <w:bidi w:val="0"/>
        <w:spacing w:before="200" w:after="200"/>
        <w:jc w:val="both"/>
        <w:rPr/>
      </w:pPr>
      <w:r>
        <w:rPr/>
        <w:t>Each of the parties hereto acknowledges that federal and/or provincial legislation that addresses the protection of individual's personal information (collectively, "</w:t>
      </w:r>
      <w:r>
        <w:rPr>
          <w:b/>
        </w:rPr>
        <w:t>Privacy Laws</w:t>
      </w:r>
      <w:r>
        <w:rPr/>
        <w:t>") applies to obligations and activities under this Agreement. Despite any other provision of this Agreement, neither party will take or direct any action that 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58" w:name="page_43"/>
      <w:bookmarkEnd w:id="58"/>
      <w:r>
        <w:rPr>
          <w:b/>
        </w:rPr>
        <w:t>ARTICLE 5</w:t>
      </w:r>
      <w:r>
        <w:rPr/>
        <w:br/>
      </w:r>
      <w:r>
        <w:rPr>
          <w:b/>
        </w:rPr>
        <w:t>MISCELLANEOUS</w:t>
      </w:r>
    </w:p>
    <w:p>
      <w:pPr>
        <w:pStyle w:val="TextBody"/>
        <w:bidi w:val="0"/>
        <w:spacing w:before="200" w:after="200"/>
        <w:ind w:left="720" w:right="0" w:hanging="0"/>
        <w:jc w:val="both"/>
        <w:rPr/>
      </w:pPr>
      <w:r>
        <w:rPr>
          <w:b/>
        </w:rPr>
        <w:t>5.1</w:t>
      </w:r>
      <w:r>
        <w:rPr/>
        <w:t> </w:t>
      </w:r>
      <w:r>
        <w:rPr>
          <w:b/>
        </w:rPr>
        <w:t>Redemption, Waiver, Extension and Termination</w:t>
      </w:r>
    </w:p>
    <w:p>
      <w:pPr>
        <w:pStyle w:val="TextBody"/>
        <w:bidi w:val="0"/>
        <w:spacing w:before="200" w:after="200"/>
        <w:ind w:left="1440" w:right="0" w:hanging="0"/>
        <w:jc w:val="both"/>
        <w:rPr/>
      </w:pPr>
      <w:r>
        <w:rPr/>
        <w:t>(a) Subject to the prior consent of the holders of Voting Shares or Rights obtained as set forth in Subsections 5.4(a) or 5.4(b), as applicable, the Board of Directors acting in good faith may, at any time prior to the later of the Share Acquisition Date and the Separation Time, elect to redeem all but not less than all of the then outstanding Rights at a redemption price of $0.00001 per Right, appropriately adjusted in a manner analogous to the applicable adjustment provided for in Section 2.3 if an event of the type analogous to any of the events described in Section 2.3 shall have occurred (such redemption price being herein referred to as the "</w:t>
      </w:r>
      <w:r>
        <w:rPr>
          <w:b/>
        </w:rPr>
        <w:t>Redemption Price</w:t>
      </w:r>
      <w:r>
        <w:rPr/>
        <w:t>").</w:t>
      </w:r>
    </w:p>
    <w:p>
      <w:pPr>
        <w:pStyle w:val="TextBody"/>
        <w:bidi w:val="0"/>
        <w:spacing w:before="200" w:after="200"/>
        <w:ind w:left="1440" w:right="0" w:hanging="0"/>
        <w:jc w:val="both"/>
        <w:rPr/>
      </w:pPr>
      <w:r>
        <w:rPr/>
        <w:t>(b) If the Board of Directors determines in good faith that a Person who would otherwise be an Acquiring Person has become such inadvertently (including because (A) such Person was unaware that it Beneficially Owned a percentage of the Voting Shares then outstanding that would otherwise cause such Person to be an Acquiring Person or (B) such Person was aware of the extent of the Voting Shares then outstanding that it Beneficially Owned but had no actual knowledge of the consequences of such Beneficial Ownership pursuant to this Agreement) and without any intention of changing or influencing control of the Corporation, and if such Person divested or divests as promptly as practicable (as determined by the Board of Directors in its sole discretion) a sufficient number of Voting Shares (including by entering into an agreement with the Corporation, which agreement is satisfactory to the Board of Directors, in its sole discretion, to divest and subsequently divests in accordance with the terms of such agreement, without exercising or retaining any power, including voting power, with respect to such Voting Shares) (or, in the case solely of Voting Shares Beneficially Owned, directly or indirectly, by such Person pursuant to Section 1.1(f)(i)(D) hereof, such Person terminates the subject derivative transaction or disposes of the subject derivative instrument, or establishes to the satisfaction of the Board of Directors that such Voting Shares are not held, directly or indirectly, with any intention of changing or influencing control of the Corporation) so that such Person would no longer be an Acquiring Person, or if such divestiture requirement is waived by the Board of Directors on such terms and conditions as the Board of Directors, in good faith, determines are advisable, then such Person will not be deemed to be or to have become an Acquiring Person for any purposes of this Agreement in connection with such circumstances, it being understood that such Person will be considered to be an Acquiring Person upon thereafter becoming the Beneficial Owner of 20% or more of the Voting Shares then outstanding, unless expressly provided to the contrary under this Agreement.</w:t>
      </w:r>
    </w:p>
    <w:p>
      <w:pPr>
        <w:pStyle w:val="TextBody"/>
        <w:bidi w:val="0"/>
        <w:spacing w:before="200" w:after="200"/>
        <w:ind w:left="1440" w:right="0" w:hanging="0"/>
        <w:jc w:val="both"/>
        <w:rPr/>
      </w:pPr>
      <w:r>
        <w:rPr/>
        <w:t>(c) In the event that a Person acquires Voting Shares and/or Convertible Securities pursuant to a Permitted Bid or an Exempt Acquisition referred to in Subsection 5.1(d), then the Board of Directors shall, notwithstanding the provisions of Subsection 5.1(a), immediately upon the consummation of such acquisition and without further formality, be deemed to have elected to redeem the Rights at the Redemption Price.</w:t>
      </w:r>
    </w:p>
    <w:p>
      <w:pPr>
        <w:pStyle w:val="TextBody"/>
        <w:bidi w:val="0"/>
        <w:spacing w:before="200" w:after="200"/>
        <w:ind w:left="1440" w:right="0" w:hanging="0"/>
        <w:jc w:val="both"/>
        <w:rPr/>
      </w:pPr>
      <w:r>
        <w:rPr/>
        <w:t>(d) The Board of Directors acting in good faith may, prior to the occurrence of the relevant Flip-in Event, upon prior written notice delivered to the Rights Agent, determine to waive the application of Section 3.1 to a Flip-in Event that may occur by reason of a Take-over Bid made by means of a Take-over Bid circular to all holders of record of Voting Shares; provided that, if the Board of Directors waives the application of Section 3.1 to a particular Take-over Bid pursuant to this Subsection 5.1(d), then the Board of Directors shall be deemed to have waived the application of Section 3.1 to any other Take-over Bid made by means of a Take-over Bid circular to all holders of record of Voting Shares prior to the expiry of any Take-over Bid in respect of which a waiver is, or is deemed to have been, granted under this Subsection 5.1(d).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59" w:name="page_44"/>
      <w:bookmarkEnd w:id="59"/>
      <w:r>
        <w:rPr/>
        <w:t>(e) Subject to the prior consent of the holders of Voting Shares obtained as set forth in Subsection 5.4(b)(i), the Board of Directors may, at any time prior to the occurrence of a Flip-in Event as to which the application of Section 3.1 has not been waived pursuant to this Section 5.1, if such Flip-in Event would occur by reason of an acquisition of Voting Shares and/or Convertible Securities otherwise than pursuant to a Take-over Bid made by means of a Take-over Bid circular to all registered holders of Voting Shares and otherwise than in the circumstances set forth in Subsection 5.1(b), waive the application of Section 3.1 to such Flip-in Event. In such event, the Board of Directors shall extend the Separation Time to a date at least 10 Business Days subsequent to the meeting of shareholders called to approve such waiver.</w:t>
      </w:r>
    </w:p>
    <w:p>
      <w:pPr>
        <w:pStyle w:val="TextBody"/>
        <w:bidi w:val="0"/>
        <w:spacing w:before="200" w:after="200"/>
        <w:ind w:left="1440" w:right="0" w:hanging="0"/>
        <w:jc w:val="both"/>
        <w:rPr/>
      </w:pPr>
      <w:r>
        <w:rPr/>
        <w:t>(f) The Board of Directors may, prior to the Close of Business on the tenth Business Day following a Share Acquisition Date or such later Business Day as it may from time to time determine, upon prior written notice delivered to the Rights Agent, waive the application of Section 3.1 to the related Flip-in Event; provided that the Acquiring Person has reduced its Beneficial Ownership of Voting Shares (or has entered into a contractual arrangement with the Corporation, acceptable to the Board of Directors, to do so within 10 days of the date on which such contractual arrangement is entered into or such later date as the Board of Directors may determine) such that, at the time the waiver becomes effective pursuant to this Subsection 5.1(f), such Person is no longer an Acquiring Person. In the event of such a waiver becoming effective prior to the Separation Time, for the purposes of this Agreement, such Flip-in Event shall be deemed not to have occurred.</w:t>
      </w:r>
    </w:p>
    <w:p>
      <w:pPr>
        <w:pStyle w:val="TextBody"/>
        <w:bidi w:val="0"/>
        <w:spacing w:before="200" w:after="200"/>
        <w:ind w:left="1440" w:right="0" w:hanging="0"/>
        <w:jc w:val="both"/>
        <w:rPr/>
      </w:pPr>
      <w:r>
        <w:rPr/>
        <w:t>(g) Where a Take-over Bid that is not a Permitted Bid or Competing Permitted Bid is withdrawn or otherwise terminated after the Separation Time has occurred and prior to the occurrence of a Flip-in Event, or if the Board of Directors grants a waiver under Subsection 5.1(f) after the Separation Time, then the Board of Directors may elect to redeem all the outstanding Rights at the Redemption Price. Upon the Rights being redeemed pursuant to this Subsection 5.1(g), all of the provisions of this Agreement shall continue to apply as if the Separation Time had not occurred and Rights Certificates representing the number of Rights held by each holder of record of Voting Shares at the Separation Time had not been mailed to each such holder and for all purposes of this Agreement the Separation Time shall be deemed not to have occurred and the Corporation shall be deemed to have issued replacement Rights to the holders of its then outstanding Voting Shares.</w:t>
      </w:r>
    </w:p>
    <w:p>
      <w:pPr>
        <w:pStyle w:val="TextBody"/>
        <w:bidi w:val="0"/>
        <w:spacing w:before="200" w:after="200"/>
        <w:ind w:left="1440" w:right="0" w:hanging="0"/>
        <w:jc w:val="both"/>
        <w:rPr/>
      </w:pPr>
      <w:r>
        <w:rPr/>
        <w:t>(h) If the Board of Directors is deemed under Subsection 5.1(c) to have elected or elects under Subsections 5.1(a) or 5.1(g) to redeem the Rights, then the right to exercise the Rights will thereupon, without further action and without notice, terminate and the only right thereafter of the holders of Rights shall be to receive the Redemption Price.</w:t>
      </w:r>
    </w:p>
    <w:p>
      <w:pPr>
        <w:pStyle w:val="TextBody"/>
        <w:bidi w:val="0"/>
        <w:spacing w:before="200" w:after="200"/>
        <w:ind w:left="1440" w:right="0" w:hanging="0"/>
        <w:jc w:val="both"/>
        <w:rPr/>
      </w:pPr>
      <w:r>
        <w:rPr/>
        <w:t>(i) Within 10 Business Days after the Board of Directors is deemed under Subsection 5.1(c) to have elected or elects under Subsection 5.1(a) or 5.1(g) to redeem the Rights, the Corporation shall give notice of redemption to the holders of the then outstanding Rights by mailing such notice to each such holder at his last address as it appears upon the Rights Register or, prior to the Separation Time, on the registry books of the transfer agent for the Voting Shares. Any notice which is mailed in the manner herein provided shall be deemed given, whether or not the holder receives the notice. Each such notice of redemption will state the method by which the payment of the Redemption Price will be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60" w:name="page_45"/>
      <w:bookmarkEnd w:id="60"/>
      <w:r>
        <w:rPr/>
        <w:t>(j) The Corporation shall not be obligated to make a payment of the Redemption Price to any holder of Rights unless the holder is entitled to receive at least $10.00 in respect of all Rights held by such holder.</w:t>
      </w:r>
    </w:p>
    <w:p>
      <w:pPr>
        <w:pStyle w:val="TextBody"/>
        <w:bidi w:val="0"/>
        <w:spacing w:before="200" w:after="200"/>
        <w:ind w:left="720" w:right="0" w:hanging="0"/>
        <w:jc w:val="both"/>
        <w:rPr/>
      </w:pPr>
      <w:r>
        <w:rPr>
          <w:b/>
        </w:rPr>
        <w:t>5.2</w:t>
      </w:r>
      <w:r>
        <w:rPr/>
        <w:t> </w:t>
      </w:r>
      <w:r>
        <w:rPr>
          <w:b/>
        </w:rPr>
        <w:t>Expiration</w:t>
      </w:r>
    </w:p>
    <w:p>
      <w:pPr>
        <w:pStyle w:val="TextBody"/>
        <w:bidi w:val="0"/>
        <w:spacing w:before="200" w:after="200"/>
        <w:jc w:val="both"/>
        <w:rPr/>
      </w:pPr>
      <w:r>
        <w:rPr/>
        <w:t>No Person will have any rights pursuant to this Agreement or in respect of any Right after the Expiration Time, except in respect of any right to receive cash, securities or other property which has accrued at the Expiration Time and except as specified in Subsections 4.1(a) and 4.1(b) and except the Rights Agent as specified in Article 4.</w:t>
      </w:r>
    </w:p>
    <w:p>
      <w:pPr>
        <w:pStyle w:val="TextBody"/>
        <w:bidi w:val="0"/>
        <w:spacing w:before="200" w:after="200"/>
        <w:ind w:left="720" w:right="0" w:hanging="0"/>
        <w:jc w:val="both"/>
        <w:rPr/>
      </w:pPr>
      <w:r>
        <w:rPr>
          <w:b/>
        </w:rPr>
        <w:t>5.3</w:t>
      </w:r>
      <w:r>
        <w:rPr/>
        <w:t> </w:t>
      </w:r>
      <w:r>
        <w:rPr>
          <w:b/>
        </w:rPr>
        <w:t>Issuance of New Rights Certificates</w:t>
      </w:r>
    </w:p>
    <w:p>
      <w:pPr>
        <w:pStyle w:val="TextBody"/>
        <w:bidi w:val="0"/>
        <w:spacing w:before="200" w:after="200"/>
        <w:jc w:val="both"/>
        <w:rPr/>
      </w:pPr>
      <w:r>
        <w:rPr/>
        <w:t>Notwithstanding any of the provisions of this Agreement or of the Rights to the contrary, the Corporation may, at its option, issue new Rights Certificates evidencing Rights in such form as may be approved by its Board of Directors to reflect any adjustment or change in the number or kind or class of securities acquirable upon exercise or exchange of Rights made in accordance with the provisions of this Agreement.</w:t>
      </w:r>
    </w:p>
    <w:p>
      <w:pPr>
        <w:pStyle w:val="TextBody"/>
        <w:bidi w:val="0"/>
        <w:spacing w:before="200" w:after="200"/>
        <w:ind w:left="720" w:right="0" w:hanging="0"/>
        <w:jc w:val="both"/>
        <w:rPr/>
      </w:pPr>
      <w:r>
        <w:rPr>
          <w:b/>
        </w:rPr>
        <w:t>5.4</w:t>
      </w:r>
      <w:r>
        <w:rPr/>
        <w:t> </w:t>
      </w:r>
      <w:r>
        <w:rPr>
          <w:b/>
        </w:rPr>
        <w:t>Supplements and Amendments</w:t>
      </w:r>
    </w:p>
    <w:p>
      <w:pPr>
        <w:pStyle w:val="TextBody"/>
        <w:bidi w:val="0"/>
        <w:spacing w:before="200" w:after="200"/>
        <w:ind w:left="1440" w:right="0" w:hanging="0"/>
        <w:jc w:val="both"/>
        <w:rPr/>
      </w:pPr>
      <w:r>
        <w:rPr/>
        <w:t>(a) Subject to Subsections 5.4(b) and 5.4(c), the Corporation may from time to time amend, supplement, restate or delete any of the provisions of this Agreement and the Rights; provided that no amendment, supplement, restatement or deletion shall be made without the prior consent of the shareholders of the Corporation or holders of the Rights, given as provided in Subsection 5.4(b), except that amendments, supplements, restatements or deletions made for any of the following purposes shall not require such prior approval but shall be subject to subsequent ratification in accordance with Subsection 5.4(b):</w:t>
      </w:r>
    </w:p>
    <w:p>
      <w:pPr>
        <w:pStyle w:val="TextBody"/>
        <w:bidi w:val="0"/>
        <w:spacing w:before="200" w:after="200"/>
        <w:ind w:left="2160" w:right="0" w:hanging="0"/>
        <w:jc w:val="both"/>
        <w:rPr/>
      </w:pPr>
      <w:r>
        <w:rPr/>
        <w:t>(i) in order to make such changes as are necessary in order to maintain the validity of this Agreement and the Rights as a result of any change in any applicable legislation, regulations or rules; or</w:t>
      </w:r>
    </w:p>
    <w:p>
      <w:pPr>
        <w:pStyle w:val="TextBody"/>
        <w:bidi w:val="0"/>
        <w:spacing w:before="200" w:after="200"/>
        <w:ind w:left="2160" w:right="0" w:hanging="0"/>
        <w:jc w:val="both"/>
        <w:rPr/>
      </w:pPr>
      <w:r>
        <w:rPr/>
        <w:t>(ii) in order to make such changes as are necessary in order to cure any clerical or typographical error.</w:t>
      </w:r>
    </w:p>
    <w:p>
      <w:pPr>
        <w:pStyle w:val="TextBody"/>
        <w:bidi w:val="0"/>
        <w:spacing w:before="200" w:after="200"/>
        <w:ind w:left="1440" w:right="0" w:hanging="0"/>
        <w:jc w:val="both"/>
        <w:rPr/>
      </w:pPr>
      <w:r>
        <w:rPr/>
        <w:t>Notwithstanding anything in this Section 5.4 to the contrary, no amendment, supplement, restatement or deletion shall be made to the provisions of Article 4 or any other provision specifically relating to the rights or duties of the Rights Agent except with the written concurrence of the Rights Agent thereto.</w:t>
      </w:r>
    </w:p>
    <w:p>
      <w:pPr>
        <w:pStyle w:val="TextBody"/>
        <w:bidi w:val="0"/>
        <w:spacing w:before="200" w:after="200"/>
        <w:ind w:left="1440" w:right="0" w:hanging="0"/>
        <w:jc w:val="both"/>
        <w:rPr/>
      </w:pPr>
      <w:r>
        <w:rPr/>
        <w:t>(b) Any amendment, supplement, restatement or deletion made by the Board of Directors pursuant to Subsection 5.4(a) shall, if made:</w:t>
      </w:r>
    </w:p>
    <w:p>
      <w:pPr>
        <w:pStyle w:val="TextBody"/>
        <w:bidi w:val="0"/>
        <w:spacing w:before="200" w:after="200"/>
        <w:ind w:left="2160" w:right="0" w:hanging="0"/>
        <w:jc w:val="both"/>
        <w:rPr/>
      </w:pPr>
      <w:r>
        <w:rPr/>
        <w:t>(i) prior to the Separation Time, be submitted to the shareholders of the Corporation at the next meeting of shareholders and the shareholders may, by resolution passed by a majority of the votes cast by Independent Shareholders who vote in respect of such amendment, supplement, restatement or deletion, confirm or reject such amendment, supplement, restatement or deletion;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61" w:name="page_46"/>
      <w:bookmarkEnd w:id="61"/>
      <w:r>
        <w:rPr/>
        <w:t>(ii) after the Separation Time, be submitted to the holders of Rights at a meeting to be held on a date not later than the date of the next meeting of shareholders of the Corporation and the holders of Rights may, by resolution passed by a majority of the votes cast by the holders of Rights which have not become void pursuant to Subsection 3.1(b) who vote in respect of such amendment, supplement, restatement or deletion, confirm or reject such amendment, supplement, restatement or deletion.</w:t>
      </w:r>
    </w:p>
    <w:p>
      <w:pPr>
        <w:pStyle w:val="TextBody"/>
        <w:bidi w:val="0"/>
        <w:spacing w:before="200" w:after="200"/>
        <w:ind w:left="1440" w:right="0" w:hanging="0"/>
        <w:jc w:val="both"/>
        <w:rPr/>
      </w:pPr>
      <w:r>
        <w:rPr/>
        <w:t>Any amendment, supplement, restatement or deletion pursuant to Subsection 5.4(a) shall be effective from the later of the date of the consent of the holders of Voting Shares or Rights, as applicable, adopting such amendment, supplement, restatement or deletion and the date of approval thereof by each Exchange (except in the case of an amendment, supplement, restatement or deletion referred to in Subsections 5.4(a)(i) or 5.4(a)(ii) which shall be effective from the later of the date of the resolution of the Board of Directors adopting such amendment, supplement, restatement or deletion and the date or approval thereof by each Exchange and shall continue in effect until it ceases to be effective (as in this Subsection 5.4(b) described) and, where such amendment, supplement, restatement or deletion is confirmed, it shall continue in effect in the form so confirmed). If an amendment, supplement, restatement or deletion pursuant to Subsections 5.4(a)(i) or 5.4(a)(ii) is rejected by the shareholders or the holders of Rights or is not submitted to the shareholders or holders of Rights as required, then such amendment, supplement, restatement or deletion shall cease to be effective, as applicable:</w:t>
      </w:r>
    </w:p>
    <w:p>
      <w:pPr>
        <w:pStyle w:val="TextBody"/>
        <w:bidi w:val="0"/>
        <w:spacing w:before="200" w:after="200"/>
        <w:ind w:left="2160" w:right="0" w:hanging="0"/>
        <w:jc w:val="both"/>
        <w:rPr/>
      </w:pPr>
      <w:r>
        <w:rPr/>
        <w:t>(iii) from and after the termination of the meeting at which it was rejected or to which it should have been but was not submitted;</w:t>
      </w:r>
    </w:p>
    <w:p>
      <w:pPr>
        <w:pStyle w:val="TextBody"/>
        <w:bidi w:val="0"/>
        <w:spacing w:before="200" w:after="200"/>
        <w:ind w:left="2160" w:right="0" w:hanging="0"/>
        <w:jc w:val="both"/>
        <w:rPr/>
      </w:pPr>
      <w:r>
        <w:rPr/>
        <w:t>(iv) from and after the date of the meeting of holders of Rights that should have been (but was not) held prior to or concurrently with the time of the next meeting of shareholders of the Corporation; or</w:t>
      </w:r>
    </w:p>
    <w:p>
      <w:pPr>
        <w:pStyle w:val="TextBody"/>
        <w:bidi w:val="0"/>
        <w:spacing w:before="200" w:after="200"/>
        <w:ind w:left="2160" w:right="0" w:hanging="0"/>
        <w:jc w:val="both"/>
        <w:rPr/>
      </w:pPr>
      <w:r>
        <w:rPr/>
        <w:t>(v) from and after the date a meeting of shareholders should have been held pursuant to applicable law but was not held,</w:t>
      </w:r>
    </w:p>
    <w:p>
      <w:pPr>
        <w:pStyle w:val="TextBody"/>
        <w:bidi w:val="0"/>
        <w:spacing w:before="200" w:after="200"/>
        <w:ind w:left="1440" w:right="0" w:hanging="0"/>
        <w:jc w:val="both"/>
        <w:rPr/>
      </w:pPr>
      <w:r>
        <w:rPr/>
        <w:t>and no subsequent resolution of the Board of Directors to amend, supplement, restate or delete any provision of this Agreement to substantially the same effect shall be effective until confirmed by the shareholders or holders of Rights, as the case may be.</w:t>
      </w:r>
    </w:p>
    <w:p>
      <w:pPr>
        <w:pStyle w:val="TextBody"/>
        <w:bidi w:val="0"/>
        <w:spacing w:before="200" w:after="200"/>
        <w:ind w:left="1440" w:right="0" w:hanging="0"/>
        <w:jc w:val="both"/>
        <w:rPr/>
      </w:pPr>
      <w:r>
        <w:rPr/>
        <w:t>(c) For greater certainty, neither the exercise by the Board of Directors of any power or discretion conferred on it hereunder nor the making by the Board of Directors of any determination or the granting of any waiver it is permitted to make or give hereunder shall constitute an amendment, supplement, restatement or deletion of the provisions of this Agreement or the Rights, for purposes of this Section 5.4 or otherwise.</w:t>
      </w:r>
    </w:p>
    <w:p>
      <w:pPr>
        <w:pStyle w:val="TextBody"/>
        <w:bidi w:val="0"/>
        <w:spacing w:before="200" w:after="200"/>
        <w:ind w:left="1440" w:right="0" w:hanging="0"/>
        <w:jc w:val="both"/>
        <w:rPr/>
      </w:pPr>
      <w:r>
        <w:rPr/>
        <w:t>(d) Unless otherwise provided herein, the approval, confirmation or consent of the holders of Rights with respect to any matter arising hereunder shall be deemed to have been given if the action requiring such approval, confirmation or consent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or which, prior to the Separation Time, are held otherwise than by Independent Shareholders) shall be entitled to one vote, and the procedures for the calling, holding and conduct of the meeting shall be those, as nearly as may be, which are provided in the Corporation's bylaws and under applicable laws with respect to meetings of shareholders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62" w:name="page_47"/>
      <w:bookmarkEnd w:id="62"/>
      <w:r>
        <w:rPr/>
        <w:t>(e) The Corporation shall give notice in writing to the Rights Agent of any amendment, supplement, restatement or deletion to this Agreement pursuant to this Section 5.4 within five Business Days of the date of any such amendment, supplement, restatement or deletion; provided that failure to give such notice, or any defect therein, shall not affect the validity of any such amendment, supplement, restatement or deletion.</w:t>
      </w:r>
    </w:p>
    <w:p>
      <w:pPr>
        <w:pStyle w:val="TextBody"/>
        <w:bidi w:val="0"/>
        <w:spacing w:before="200" w:after="200"/>
        <w:ind w:left="720" w:right="0" w:hanging="0"/>
        <w:jc w:val="both"/>
        <w:rPr/>
      </w:pPr>
      <w:r>
        <w:rPr>
          <w:b/>
        </w:rPr>
        <w:t>5.5</w:t>
      </w:r>
      <w:r>
        <w:rPr/>
        <w:t> </w:t>
      </w:r>
      <w:r>
        <w:rPr>
          <w:b/>
        </w:rPr>
        <w:t>Fractional Rights and Fractional Shares</w:t>
      </w:r>
    </w:p>
    <w:p>
      <w:pPr>
        <w:pStyle w:val="TextBody"/>
        <w:bidi w:val="0"/>
        <w:spacing w:before="200" w:after="200"/>
        <w:ind w:left="1440" w:right="0" w:hanging="0"/>
        <w:jc w:val="both"/>
        <w:rPr/>
      </w:pPr>
      <w:r>
        <w:rPr/>
        <w:t>(a) The Corporation shall not be required to issue fractions of Rights or to distribute Rights Certificates which evidence fractional Rights. Any such fractional Right shall be null and void and the Corporation will not have any obligation or liability in respect thereof.</w:t>
      </w:r>
    </w:p>
    <w:p>
      <w:pPr>
        <w:pStyle w:val="TextBody"/>
        <w:bidi w:val="0"/>
        <w:spacing w:before="200" w:after="200"/>
        <w:ind w:left="1440" w:right="0" w:hanging="0"/>
        <w:jc w:val="both"/>
        <w:rPr/>
      </w:pPr>
      <w:r>
        <w:rPr/>
        <w:t>(b) The Corporation shall not be required to issue fractional Common Shares upon exercise or exchange of the Rights or to distribute certificates that evidence fractional Common Shares. In lieu of issuing fractional Common Shares, the Corporation shall pay to the registered holder of Rights Certificates at the time such Rights are exercised as herein provided, an amount in cash equal to the same fraction of the Market Price of one Common Share at the date of such exercise.</w:t>
      </w:r>
    </w:p>
    <w:p>
      <w:pPr>
        <w:pStyle w:val="TextBody"/>
        <w:bidi w:val="0"/>
        <w:spacing w:before="200" w:after="200"/>
        <w:ind w:left="1440" w:right="0" w:hanging="0"/>
        <w:jc w:val="both"/>
        <w:rPr/>
      </w:pPr>
      <w:r>
        <w:rPr/>
        <w:t>(c) The Rights Agent shall have no obligation to make any payments in lieu of issuing fractions of Rights or Common Shares pursuant to Subsections 5.5(a) or 5.5(b), respectively, unless and until the Corporation shall have provided to the Rights Agent the amount of cash to be paid in lieu of issuing such fractional Rights or Common Shares, as the case may be. The Rights Agent shall have no liability or responsibility for any funds until it is in fact received by the Rights Agent. The Rights Agent may hold cash balances constituting part or all of the funds to be disbursed in lieu of issuing fractions of Rights or Common Shares in an interest bearing account pending payment, and the Rights Agent may, but is not obligated to, invest same in the deposit department of a Canadian chartered bank and its Affiliates. The Rights Agent and its Affiliates shall not be liable to account for any profit to the Corporation or to any other person or entity other than at a rate, if any, established from time to time by the Rights Agent and its Affiliates.</w:t>
      </w:r>
    </w:p>
    <w:p>
      <w:pPr>
        <w:pStyle w:val="TextBody"/>
        <w:bidi w:val="0"/>
        <w:spacing w:before="200" w:after="200"/>
        <w:ind w:left="720" w:right="0" w:hanging="0"/>
        <w:jc w:val="both"/>
        <w:rPr/>
      </w:pPr>
      <w:r>
        <w:rPr>
          <w:b/>
        </w:rPr>
        <w:t>5.6</w:t>
      </w:r>
      <w:r>
        <w:rPr/>
        <w:t> </w:t>
      </w:r>
      <w:r>
        <w:rPr>
          <w:b/>
        </w:rPr>
        <w:t>Rights of Action</w:t>
      </w:r>
    </w:p>
    <w:p>
      <w:pPr>
        <w:pStyle w:val="TextBody"/>
        <w:bidi w:val="0"/>
        <w:spacing w:before="200" w:after="200"/>
        <w:jc w:val="both"/>
        <w:rPr/>
      </w:pPr>
      <w:r>
        <w:rPr/>
        <w:t>Subject to the terms of this Agreement, rights of action in respect of this Agreement, other than rights of action vested solely in the Rights Agent, are vested in the respective holders of the Rights; and any holder of any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or otherwise act in respect of, such holder's right to exercise such holder's Rights in the manner provided in this Agreement and in such holder's Rights Certificate.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63" w:name="page_48"/>
      <w:bookmarkEnd w:id="63"/>
      <w:r>
        <w:rPr>
          <w:b/>
        </w:rPr>
        <w:t>5.7</w:t>
      </w:r>
      <w:r>
        <w:rPr/>
        <w:t> </w:t>
      </w:r>
      <w:r>
        <w:rPr>
          <w:b/>
        </w:rPr>
        <w:t>Holder of Rights Not Deemed a Shareholder</w:t>
      </w:r>
    </w:p>
    <w:p>
      <w:pPr>
        <w:pStyle w:val="TextBody"/>
        <w:bidi w:val="0"/>
        <w:spacing w:before="200" w:after="200"/>
        <w:jc w:val="both"/>
        <w:rPr/>
      </w:pPr>
      <w:r>
        <w:rPr/>
        <w:t>No holder, as such, of any Rights shall be entitled to vote, receive dividends or be deemed for any purpose the holder of Common Shares or any other securities which may at any time be issuable on the exercise or exchange of Rights, nor shall anything contained herein or in any Rights Certificate be construed to confer upon the holder of any Rights, as such, any of the rights of a shareholder of the Corporation or any right to vote for the election of directors or upon any matter submitted to shareholders at any meeting thereof, or to give or withhold consent to any action, or to receive notice of meetings or other actions affecting shareholders (except as provided in Section 5.8) or to receive dividends or subscription rights or otherwise, until such Rights shall have been exercised or exchanged in accordance with the provisions hereof.</w:t>
      </w:r>
    </w:p>
    <w:p>
      <w:pPr>
        <w:pStyle w:val="TextBody"/>
        <w:bidi w:val="0"/>
        <w:spacing w:before="200" w:after="200"/>
        <w:ind w:left="720" w:right="0" w:hanging="0"/>
        <w:jc w:val="both"/>
        <w:rPr/>
      </w:pPr>
      <w:r>
        <w:rPr>
          <w:b/>
        </w:rPr>
        <w:t>5.8</w:t>
      </w:r>
      <w:r>
        <w:rPr/>
        <w:t> </w:t>
      </w:r>
      <w:r>
        <w:rPr>
          <w:b/>
        </w:rPr>
        <w:t>Notice of Proposed Actions</w:t>
      </w:r>
    </w:p>
    <w:p>
      <w:pPr>
        <w:pStyle w:val="TextBody"/>
        <w:bidi w:val="0"/>
        <w:spacing w:before="200" w:after="200"/>
        <w:jc w:val="both"/>
        <w:rPr/>
      </w:pPr>
      <w:r>
        <w:rPr/>
        <w:t>If the Corporation proposes after the Separation Time and prior to the Expiration Time to effect the liquidation, dissolution or winding up of the Corporation or the sale of all or substantially all of the Corporation's assets, then, in each such case, the Corporation shall give to each holder of a Right, in accordance with Section 5.9, a notice of such proposed action, which shall specify the date on which such liquidation, dissolution, or winding up is to take place, and such notice shall be so given at least 20 Business Days prior to the date of the taking of such proposed action by the Corporation.</w:t>
      </w:r>
    </w:p>
    <w:p>
      <w:pPr>
        <w:pStyle w:val="TextBody"/>
        <w:bidi w:val="0"/>
        <w:spacing w:before="200" w:after="200"/>
        <w:ind w:left="720" w:right="0" w:hanging="0"/>
        <w:jc w:val="both"/>
        <w:rPr/>
      </w:pPr>
      <w:r>
        <w:rPr>
          <w:b/>
        </w:rPr>
        <w:t>5.9</w:t>
      </w:r>
      <w:r>
        <w:rPr/>
        <w:t> </w:t>
      </w:r>
      <w:r>
        <w:rPr>
          <w:b/>
        </w:rPr>
        <w:t>Notices</w:t>
      </w:r>
    </w:p>
    <w:p>
      <w:pPr>
        <w:pStyle w:val="TextBody"/>
        <w:bidi w:val="0"/>
        <w:spacing w:before="200" w:after="200"/>
        <w:jc w:val="both"/>
        <w:rPr/>
      </w:pPr>
      <w:r>
        <w:rPr/>
        <w:t>Notices or demands authorized or required by this Agreement to be given or made to or by the Rights Agent, the holder of any Rights or the Corporation will be sufficiently given or made and shall be deemed to be received if delivered or sent by first-class mail, postage prepaid, or by facsimile machine or other means of electronic or printed telecommunication, charges prepaid and confirmed in writing by mail or delivery, addressed (until another address is filed in writing with the Rights Agent or the Corporation, as applicable), as follows:</w:t>
      </w:r>
    </w:p>
    <w:p>
      <w:pPr>
        <w:pStyle w:val="TextBody"/>
        <w:bidi w:val="0"/>
        <w:spacing w:before="200" w:after="200"/>
        <w:ind w:left="1440" w:right="0" w:hanging="0"/>
        <w:jc w:val="both"/>
        <w:rPr/>
      </w:pPr>
      <w:r>
        <w:rPr/>
        <w:t>(a) if to the Corporation:</w:t>
      </w:r>
    </w:p>
    <w:p>
      <w:pPr>
        <w:pStyle w:val="TextBody"/>
        <w:bidi w:val="0"/>
        <w:spacing w:before="200" w:after="0"/>
        <w:ind w:left="1440" w:right="0" w:hanging="0"/>
        <w:jc w:val="both"/>
        <w:rPr>
          <w:b/>
        </w:rPr>
      </w:pPr>
      <w:r>
        <w:rPr>
          <w:b/>
        </w:rPr>
        <w:t>Sphere 3D Corp.</w:t>
      </w:r>
    </w:p>
    <w:p>
      <w:pPr>
        <w:pStyle w:val="TextBody"/>
        <w:bidi w:val="0"/>
        <w:spacing w:before="0" w:after="0"/>
        <w:ind w:left="1440" w:right="0" w:hanging="0"/>
        <w:jc w:val="both"/>
        <w:rPr/>
      </w:pPr>
      <w:r>
        <w:rPr/>
        <w:t>243 Tresser Boulevard, 17th Floor</w:t>
      </w:r>
    </w:p>
    <w:p>
      <w:pPr>
        <w:pStyle w:val="TextBody"/>
        <w:bidi w:val="0"/>
        <w:spacing w:before="0" w:after="0"/>
        <w:ind w:left="1440" w:right="0" w:hanging="0"/>
        <w:jc w:val="both"/>
        <w:rPr/>
      </w:pPr>
      <w:r>
        <w:rPr/>
        <w:t>Stamford, CT 06901</w:t>
      </w:r>
    </w:p>
    <w:p>
      <w:pPr>
        <w:pStyle w:val="TextBody"/>
        <w:bidi w:val="0"/>
        <w:spacing w:before="0" w:after="0"/>
        <w:ind w:left="1440" w:right="0" w:hanging="0"/>
        <w:jc w:val="both"/>
        <w:rPr/>
      </w:pPr>
      <w:r>
        <w:rPr/>
        <w:t>Attention: Joel Block, Chief Executive Officer</w:t>
      </w:r>
    </w:p>
    <w:p>
      <w:pPr>
        <w:pStyle w:val="TextBody"/>
        <w:bidi w:val="0"/>
        <w:spacing w:before="0" w:after="200"/>
        <w:ind w:left="1440" w:right="0" w:hanging="0"/>
        <w:jc w:val="both"/>
        <w:rPr/>
      </w:pPr>
      <w:r>
        <w:rPr/>
        <w:t>Email address: joel@sphere3d.com</w:t>
      </w:r>
    </w:p>
    <w:p>
      <w:pPr>
        <w:pStyle w:val="TextBody"/>
        <w:bidi w:val="0"/>
        <w:spacing w:before="200" w:after="200"/>
        <w:ind w:left="1440" w:right="0" w:hanging="0"/>
        <w:jc w:val="both"/>
        <w:rPr/>
      </w:pPr>
      <w:r>
        <w:rPr/>
        <w:t>(b) if to the Rights Agent:</w:t>
      </w:r>
    </w:p>
    <w:p>
      <w:pPr>
        <w:pStyle w:val="TextBody"/>
        <w:bidi w:val="0"/>
        <w:spacing w:before="200" w:after="0"/>
        <w:ind w:left="1440" w:right="0" w:hanging="0"/>
        <w:jc w:val="both"/>
        <w:rPr>
          <w:b/>
        </w:rPr>
      </w:pPr>
      <w:r>
        <w:rPr>
          <w:b/>
        </w:rPr>
        <w:t>TSX Trust Company</w:t>
      </w:r>
    </w:p>
    <w:p>
      <w:pPr>
        <w:pStyle w:val="TextBody"/>
        <w:bidi w:val="0"/>
        <w:spacing w:before="0" w:after="0"/>
        <w:ind w:left="1440" w:right="0" w:hanging="0"/>
        <w:jc w:val="both"/>
        <w:rPr/>
      </w:pPr>
      <w:r>
        <w:rPr/>
        <w:t>301-100 Adelaide Street West</w:t>
      </w:r>
    </w:p>
    <w:p>
      <w:pPr>
        <w:pStyle w:val="TextBody"/>
        <w:bidi w:val="0"/>
        <w:spacing w:before="0" w:after="0"/>
        <w:ind w:left="1440" w:right="0" w:hanging="0"/>
        <w:jc w:val="both"/>
        <w:rPr/>
      </w:pPr>
      <w:r>
        <w:rPr/>
        <w:t>Toronto, Ontario M5H 4H1</w:t>
      </w:r>
    </w:p>
    <w:p>
      <w:pPr>
        <w:pStyle w:val="TextBody"/>
        <w:bidi w:val="0"/>
        <w:spacing w:before="0" w:after="0"/>
        <w:ind w:left="1440" w:right="0" w:hanging="0"/>
        <w:jc w:val="both"/>
        <w:rPr/>
      </w:pPr>
      <w:r>
        <w:rPr/>
        <w:t>Attention: Vice-President Trust Services</w:t>
      </w:r>
    </w:p>
    <w:p>
      <w:pPr>
        <w:pStyle w:val="TextBody"/>
        <w:bidi w:val="0"/>
        <w:spacing w:before="0" w:after="200"/>
        <w:ind w:left="1440" w:right="0" w:hanging="0"/>
        <w:jc w:val="both"/>
        <w:rPr/>
      </w:pPr>
      <w:r>
        <w:rPr/>
        <w:t>Email address: tmxestaff-corporatetrust@tmx.com</w:t>
      </w:r>
    </w:p>
    <w:p>
      <w:pPr>
        <w:pStyle w:val="TextBody"/>
        <w:bidi w:val="0"/>
        <w:spacing w:before="200" w:after="200"/>
        <w:ind w:left="1440" w:right="0" w:hanging="0"/>
        <w:jc w:val="both"/>
        <w:rPr/>
      </w:pPr>
      <w:r>
        <w:rPr/>
        <w:t>(c) if to the holder of any Rights, to the address of such holder as it appears on the Rights Register or, prior to the Separation Time, on the registry books of the Corporation for the Common Shares. Any notice which is mailed or sent or delivered in the manner provided for herein shall be deemed given and received whether or not the holder receives the notice.</w:t>
      </w:r>
    </w:p>
    <w:p>
      <w:pPr>
        <w:pStyle w:val="TextBody"/>
        <w:bidi w:val="0"/>
        <w:spacing w:before="200" w:after="200"/>
        <w:jc w:val="both"/>
        <w:rPr/>
      </w:pPr>
      <w:r>
        <w:rPr/>
        <w:t>A requirement under this Agreement that a notice, document or other information be given or made in writing may be satisfied by the Corporation or the Rights Agent by providing an electronic notice, document or other information in accordance with applicable laws. An electronic document is deemed to have been received when it enters the information system designated by the addressee or, if the notice, document or information is posted on or made available through a generally accessible electronic source, when the addressee receives notice in writing of the availability and location of that electronic notice, document or information or, if such notice is sent electronically, when it enters the information system designated by the addressee.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64" w:name="page_49"/>
      <w:bookmarkEnd w:id="64"/>
      <w:r>
        <w:rPr>
          <w:b/>
        </w:rPr>
        <w:t>5.10</w:t>
      </w:r>
      <w:r>
        <w:rPr/>
        <w:t> </w:t>
      </w:r>
      <w:r>
        <w:rPr>
          <w:b/>
        </w:rPr>
        <w:t>Costs of Enforcement</w:t>
      </w:r>
    </w:p>
    <w:p>
      <w:pPr>
        <w:pStyle w:val="TextBody"/>
        <w:bidi w:val="0"/>
        <w:spacing w:before="200" w:after="200"/>
        <w:jc w:val="both"/>
        <w:rPr/>
      </w:pPr>
      <w:r>
        <w:rPr/>
        <w:t>The Corporation agrees that if the Corporation, or any other Person the securities of which are purchasable upon exercise of Rights, fails to fulfil any of its obligations pursuant to this Agreement, then the Corporation or such Person will reimburse the holder of any Rights for the reasonable costs and expenses (including legal fees) incurred by such holder in actions to enforce his rights pursuant to any Rights or this Agreement.</w:t>
      </w:r>
    </w:p>
    <w:p>
      <w:pPr>
        <w:pStyle w:val="TextBody"/>
        <w:bidi w:val="0"/>
        <w:spacing w:before="200" w:after="200"/>
        <w:ind w:left="720" w:right="0" w:hanging="0"/>
        <w:jc w:val="both"/>
        <w:rPr/>
      </w:pPr>
      <w:r>
        <w:rPr>
          <w:b/>
        </w:rPr>
        <w:t>5.11</w:t>
      </w:r>
      <w:r>
        <w:rPr/>
        <w:t> </w:t>
      </w:r>
      <w:r>
        <w:rPr>
          <w:b/>
        </w:rPr>
        <w:t>Regulatory Approvals</w:t>
      </w:r>
    </w:p>
    <w:p>
      <w:pPr>
        <w:pStyle w:val="TextBody"/>
        <w:bidi w:val="0"/>
        <w:spacing w:before="200" w:after="200"/>
        <w:jc w:val="both"/>
        <w:rPr/>
      </w:pPr>
      <w:r>
        <w:rPr/>
        <w:t>Any obligation of the Corporation or action or event contemplated by this Agreement, shall be subject to applicable law and to the receipt of any requisite approval or consent from any governmental or regulatory authority. Without limiting the generality of the foregoing, any issuance or delivery of debt or equity securities (other than non-convertible debt security) of the Corporation upon the exercise of Rights and any amendment to this Agreement shall be subject to the applicable prior consent of each Exchange.</w:t>
      </w:r>
    </w:p>
    <w:p>
      <w:pPr>
        <w:pStyle w:val="TextBody"/>
        <w:bidi w:val="0"/>
        <w:spacing w:before="200" w:after="200"/>
        <w:jc w:val="both"/>
        <w:rPr/>
      </w:pPr>
      <w:r>
        <w:rPr/>
        <w:t>Unless provided with written notice to the contrary, the Rights Agent is entitled to assume that all such necessary consents and approvals have been obtained.</w:t>
      </w:r>
    </w:p>
    <w:p>
      <w:pPr>
        <w:pStyle w:val="TextBody"/>
        <w:bidi w:val="0"/>
        <w:spacing w:before="200" w:after="200"/>
        <w:ind w:left="720" w:right="0" w:hanging="0"/>
        <w:jc w:val="both"/>
        <w:rPr/>
      </w:pPr>
      <w:r>
        <w:rPr>
          <w:b/>
        </w:rPr>
        <w:t>5.12</w:t>
      </w:r>
      <w:r>
        <w:rPr/>
        <w:t> </w:t>
      </w:r>
      <w:r>
        <w:rPr>
          <w:b/>
        </w:rPr>
        <w:t>Declaration as to Non-Canadian and Non-United States Holders</w:t>
      </w:r>
    </w:p>
    <w:p>
      <w:pPr>
        <w:pStyle w:val="TextBody"/>
        <w:bidi w:val="0"/>
        <w:spacing w:before="200" w:after="200"/>
        <w:jc w:val="both"/>
        <w:rPr/>
      </w:pPr>
      <w:r>
        <w:rPr/>
        <w:t>If, upon the advice of outside counsel, any action or event contemplated by this Agreement would require compliance with the securities laws or comparable legislation of a jurisdiction outside Canada and the United States of America, the Board of Directors acting in good faith may take such actions as it may deem appropriate to ensure that such compliance is not required, including without limitation establishing procedures for the issuance to a Canadian resident Fiduciary of Rights or securities issuable on exercise of Rights, the holding thereof in trust for the Persons entitled thereto (but reserving to the Fiduciary or to the Fiduciary and the Corporation, as the Corporation may determine, absolute discretion with respect thereto) and the sale thereof and remittance of the proceeds of such sale, if any, to the Persons entitled thereto. In no event shall the Corporation or the Rights Agent be required to issue or deliver Rights or securities issuable on exercise of Rights to Persons who are citizens, residents or nationals of any jurisdiction other than Canada and any province or territory thereof and of the United States of America and any state thereof in which such issue or delivery would be unlawful without registration of the relevant Persons or securities for such purposes.</w:t>
      </w:r>
    </w:p>
    <w:p>
      <w:pPr>
        <w:pStyle w:val="TextBody"/>
        <w:bidi w:val="0"/>
        <w:spacing w:before="200" w:after="200"/>
        <w:ind w:left="720" w:right="0" w:hanging="0"/>
        <w:jc w:val="both"/>
        <w:rPr/>
      </w:pPr>
      <w:r>
        <w:rPr>
          <w:b/>
        </w:rPr>
        <w:t>5.13</w:t>
      </w:r>
      <w:r>
        <w:rPr/>
        <w:t> </w:t>
      </w:r>
      <w:r>
        <w:rPr>
          <w:b/>
        </w:rPr>
        <w:t>Successors</w:t>
      </w:r>
    </w:p>
    <w:p>
      <w:pPr>
        <w:pStyle w:val="TextBody"/>
        <w:bidi w:val="0"/>
        <w:spacing w:before="200" w:after="200"/>
        <w:jc w:val="both"/>
        <w:rPr/>
      </w:pPr>
      <w:r>
        <w:rPr/>
        <w:t>All the covenants and provisions of this Agreement by or for the benefit of the Corporation or the Rights Agent shall bind and enure to the benefit of their respective successors and assigns hereunder.</w:t>
      </w:r>
    </w:p>
    <w:p>
      <w:pPr>
        <w:pStyle w:val="TextBody"/>
        <w:bidi w:val="0"/>
        <w:spacing w:before="200" w:after="200"/>
        <w:ind w:left="720" w:right="0" w:hanging="0"/>
        <w:jc w:val="both"/>
        <w:rPr/>
      </w:pPr>
      <w:r>
        <w:rPr>
          <w:b/>
        </w:rPr>
        <w:t>5.14</w:t>
      </w:r>
      <w:r>
        <w:rPr/>
        <w:t> </w:t>
      </w:r>
      <w:r>
        <w:rPr>
          <w:b/>
        </w:rPr>
        <w:t>Benefits of this Agreement</w:t>
      </w:r>
    </w:p>
    <w:p>
      <w:pPr>
        <w:pStyle w:val="TextBody"/>
        <w:bidi w:val="0"/>
        <w:spacing w:before="200" w:after="200"/>
        <w:jc w:val="both"/>
        <w:rPr/>
      </w:pPr>
      <w:r>
        <w:rPr/>
        <w:t>Nothing in this Agreement shall be construed to give to any Person other than the Corporation, the Rights Agent and the holders of the Rights any legal or equitable right, remedy or claim under this Agreement; this Agreement shall be for the sole and exclusive benefit of the Corporation, the Rights Agent and the holders of the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65" w:name="page_50"/>
      <w:bookmarkEnd w:id="65"/>
      <w:r>
        <w:rPr>
          <w:b/>
        </w:rPr>
        <w:t>5.15</w:t>
      </w:r>
      <w:r>
        <w:rPr/>
        <w:t> </w:t>
      </w:r>
      <w:r>
        <w:rPr>
          <w:b/>
        </w:rPr>
        <w:t>Determinations and Actions by the Board of Directors</w:t>
      </w:r>
    </w:p>
    <w:p>
      <w:pPr>
        <w:pStyle w:val="TextBody"/>
        <w:bidi w:val="0"/>
        <w:spacing w:before="200" w:after="200"/>
        <w:jc w:val="both"/>
        <w:rPr/>
      </w:pPr>
      <w:r>
        <w:rPr/>
        <w:t>All actions, calculations, interpretations and determinations (including all omissions with respect to the foregoing) which are done or made by the Board of Directors, in good faith:</w:t>
      </w:r>
    </w:p>
    <w:p>
      <w:pPr>
        <w:pStyle w:val="TextBody"/>
        <w:bidi w:val="0"/>
        <w:spacing w:before="200" w:after="200"/>
        <w:ind w:left="1440" w:right="0" w:hanging="0"/>
        <w:jc w:val="both"/>
        <w:rPr/>
      </w:pPr>
      <w:r>
        <w:rPr/>
        <w:t>(a) may be relied upon by the Rights Agent (and in the case of reliance by the Rights Agent, the good faith of the Board of Directors shall be presumed); and</w:t>
      </w:r>
    </w:p>
    <w:p>
      <w:pPr>
        <w:pStyle w:val="TextBody"/>
        <w:bidi w:val="0"/>
        <w:spacing w:before="200" w:after="200"/>
        <w:ind w:left="1440" w:right="0" w:hanging="0"/>
        <w:jc w:val="both"/>
        <w:rPr/>
      </w:pPr>
      <w:r>
        <w:rPr/>
        <w:t>(b) shall not subject the Board of Directors to any liability to the holders of the Rights or to any other parties.</w:t>
      </w:r>
    </w:p>
    <w:p>
      <w:pPr>
        <w:pStyle w:val="TextBody"/>
        <w:bidi w:val="0"/>
        <w:spacing w:before="200" w:after="200"/>
        <w:ind w:left="720" w:right="0" w:hanging="0"/>
        <w:jc w:val="both"/>
        <w:rPr/>
      </w:pPr>
      <w:r>
        <w:rPr>
          <w:b/>
        </w:rPr>
        <w:t>5.16</w:t>
      </w:r>
      <w:r>
        <w:rPr/>
        <w:t> </w:t>
      </w:r>
      <w:r>
        <w:rPr>
          <w:b/>
        </w:rPr>
        <w:t>Governing Law and Jurisdiction</w:t>
      </w:r>
    </w:p>
    <w:p>
      <w:pPr>
        <w:pStyle w:val="TextBody"/>
        <w:bidi w:val="0"/>
        <w:spacing w:before="200" w:after="200"/>
        <w:jc w:val="both"/>
        <w:rPr/>
      </w:pPr>
      <w:r>
        <w:rPr/>
        <w:t>This Agreement and the Rights issued hereunder shall be deemed to be a contract made under the laws of the Province of Ontario and for all purposes will be governed by and construed in accordance with the laws of such province applicable to contracts to be made and performed entirely within such province. To the fullest extent permitted by applicable law, the Corporation and each holder (i) agrees to submit to the exclusive jurisdiction of the Provincial Court of the Province of Ontario and the appellate courts therefrom for purposes of all suits, actions or proceedings (collectively, "</w:t>
      </w:r>
      <w:r>
        <w:rPr>
          <w:b/>
        </w:rPr>
        <w:t>Actions</w:t>
      </w:r>
      <w:r>
        <w:rPr/>
        <w:t>") arising out of or relating to this Agreement; (ii) waives and agrees not to assert any objection that they may now or hereafter have to the laying of the venue of any such Actions brought in such a court or any claim that any such Actions brought in such a court has been brought in an inconvenient forum; (iii) agrees that service of process or other papers in connection with any such Actions in any manner as may be permitted by applicable law shall be valid and sufficient service thereof; and (iv) agrees that a final and non-appealable judgment in any such Actions shall be conclusive and may be enforced in other jurisdictions by suit on the judgment or in any other manner provided by applicable law.</w:t>
      </w:r>
    </w:p>
    <w:p>
      <w:pPr>
        <w:pStyle w:val="TextBody"/>
        <w:bidi w:val="0"/>
        <w:spacing w:before="200" w:after="200"/>
        <w:ind w:left="720" w:right="0" w:hanging="0"/>
        <w:jc w:val="both"/>
        <w:rPr/>
      </w:pPr>
      <w:r>
        <w:rPr>
          <w:b/>
        </w:rPr>
        <w:t>5.17</w:t>
      </w:r>
      <w:r>
        <w:rPr/>
        <w:t> </w:t>
      </w:r>
      <w:r>
        <w:rPr>
          <w:b/>
        </w:rPr>
        <w:t>Language</w:t>
      </w:r>
    </w:p>
    <w:p>
      <w:pPr>
        <w:pStyle w:val="TextBody"/>
        <w:bidi w:val="0"/>
        <w:spacing w:before="200" w:after="200"/>
        <w:jc w:val="both"/>
        <w:rPr/>
      </w:pPr>
      <w:r>
        <w:rPr/>
        <w:t>Les parties aux présentes ont exigé que la présente convention ainsi que tous les documents et avis qui s'y rattachent ou qui en coulent soient rédigés en langue anglaise. The parties hereto have required that this Agreement and all documents and notices related thereto or resulting therefrom be drawn up in English.</w:t>
      </w:r>
    </w:p>
    <w:p>
      <w:pPr>
        <w:pStyle w:val="TextBody"/>
        <w:bidi w:val="0"/>
        <w:spacing w:before="200" w:after="200"/>
        <w:ind w:left="720" w:right="0" w:hanging="0"/>
        <w:jc w:val="both"/>
        <w:rPr/>
      </w:pPr>
      <w:r>
        <w:rPr>
          <w:b/>
        </w:rPr>
        <w:t>5.18</w:t>
      </w:r>
      <w:r>
        <w:rPr/>
        <w:t> </w:t>
      </w:r>
      <w:r>
        <w:rPr>
          <w:b/>
        </w:rPr>
        <w:t>Severability</w:t>
      </w:r>
    </w:p>
    <w:p>
      <w:pPr>
        <w:pStyle w:val="TextBody"/>
        <w:bidi w:val="0"/>
        <w:spacing w:before="200" w:after="200"/>
        <w:jc w:val="both"/>
        <w:rPr/>
      </w:pPr>
      <w:r>
        <w:rPr/>
        <w:t>If any term or provision hereof or the application thereof to any circumstance is, in any jurisdiction and to any extent, invalid or unenforceable, such term or provision will be ineffective only to the extent of such invalidity or unenforceability without invalidating or rendering unenforceable the remaining terms and provisions hereof or the application of such term or provision to circumstances other than those as to which it is held invalid or unenforceable.</w:t>
      </w:r>
    </w:p>
    <w:p>
      <w:pPr>
        <w:pStyle w:val="TextBody"/>
        <w:bidi w:val="0"/>
        <w:spacing w:before="200" w:after="200"/>
        <w:ind w:left="720" w:right="0" w:hanging="0"/>
        <w:jc w:val="both"/>
        <w:rPr/>
      </w:pPr>
      <w:r>
        <w:rPr>
          <w:b/>
        </w:rPr>
        <w:t>5.19</w:t>
      </w:r>
      <w:r>
        <w:rPr/>
        <w:t> </w:t>
      </w:r>
      <w:r>
        <w:rPr>
          <w:b/>
        </w:rPr>
        <w:t>Effective Date</w:t>
      </w:r>
    </w:p>
    <w:p>
      <w:pPr>
        <w:pStyle w:val="TextBody"/>
        <w:bidi w:val="0"/>
        <w:spacing w:before="200" w:after="200"/>
        <w:jc w:val="both"/>
        <w:rPr/>
      </w:pPr>
      <w:r>
        <w:rPr/>
        <w:t>This Agreement is effective as of and from the Effective Date.</w:t>
      </w:r>
    </w:p>
    <w:p>
      <w:pPr>
        <w:pStyle w:val="TextBody"/>
        <w:bidi w:val="0"/>
        <w:spacing w:before="200" w:after="200"/>
        <w:ind w:left="720" w:right="0" w:hanging="0"/>
        <w:jc w:val="both"/>
        <w:rPr/>
      </w:pPr>
      <w:r>
        <w:rPr>
          <w:b/>
        </w:rPr>
        <w:t>5.20</w:t>
      </w:r>
      <w:r>
        <w:rPr/>
        <w:t> </w:t>
      </w:r>
      <w:r>
        <w:rPr>
          <w:b/>
        </w:rPr>
        <w:t>Force Majeure</w:t>
      </w:r>
    </w:p>
    <w:p>
      <w:pPr>
        <w:pStyle w:val="TextBody"/>
        <w:bidi w:val="0"/>
        <w:spacing w:before="200" w:after="200"/>
        <w:jc w:val="both"/>
        <w:rPr/>
      </w:pPr>
      <w:r>
        <w:rPr/>
        <w:t>No party shall be liable to the other, or held in breach of this Agreement, if prevented, hindered, or delayed in the performance or observance of any provision contained herein by reason of act of God, riots, terrorism, acts of war, pandemics, epidemics, governmental action or judicial order, earthquakes, or any other similar causes (including, but not limited to, mechanical, electronic or communication interruptions, disruptions or failures). Performance times under this Agreement shall be extended for a period of time equivalent to the time lost because of any delay that is excusable under this Section 5.21.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66" w:name="page_511"/>
      <w:bookmarkEnd w:id="66"/>
      <w:r>
        <w:rPr>
          <w:b/>
        </w:rPr>
        <w:t>5.21</w:t>
      </w:r>
      <w:r>
        <w:rPr/>
        <w:t> </w:t>
      </w:r>
      <w:r>
        <w:rPr>
          <w:b/>
        </w:rPr>
        <w:t>Time of the Essence</w:t>
      </w:r>
    </w:p>
    <w:p>
      <w:pPr>
        <w:pStyle w:val="TextBody"/>
        <w:bidi w:val="0"/>
        <w:spacing w:before="200" w:after="200"/>
        <w:jc w:val="both"/>
        <w:rPr/>
      </w:pPr>
      <w:r>
        <w:rPr/>
        <w:t>Time shall be of the essence hereof.</w:t>
      </w:r>
    </w:p>
    <w:p>
      <w:pPr>
        <w:pStyle w:val="TextBody"/>
        <w:bidi w:val="0"/>
        <w:spacing w:before="200" w:after="200"/>
        <w:ind w:left="720" w:right="0" w:hanging="0"/>
        <w:jc w:val="both"/>
        <w:rPr/>
      </w:pPr>
      <w:r>
        <w:rPr>
          <w:b/>
        </w:rPr>
        <w:t>5.22</w:t>
      </w:r>
      <w:r>
        <w:rPr/>
        <w:t> </w:t>
      </w:r>
      <w:r>
        <w:rPr>
          <w:b/>
        </w:rPr>
        <w:t>Counterparts</w:t>
      </w:r>
    </w:p>
    <w:p>
      <w:pPr>
        <w:pStyle w:val="TextBody"/>
        <w:bidi w:val="0"/>
        <w:spacing w:before="200" w:after="200"/>
        <w:jc w:val="both"/>
        <w:rPr/>
      </w:pPr>
      <w:r>
        <w:rPr/>
        <w:t>This Agreement may be executed (including by electronic signature) in any number of counterparts and each of such counterparts will for all purposes be deemed to be an original, and all such counterparts may be delivered in PDF format by email and upon such delivery, shall together constitute one and the same instrument. Each of the parties hereto shall be entitled to rely on delivery of a facsimile or PDF copy of this Agreement and acceptance by each such party of any such facsimile or PDF copy shall be legally effective to create a valid and binding agreement between the parties hereto in accordance with the terms hereof.</w:t>
      </w:r>
    </w:p>
    <w:p>
      <w:pPr>
        <w:pStyle w:val="TextBody"/>
        <w:bidi w:val="0"/>
        <w:spacing w:before="200" w:after="200"/>
        <w:jc w:val="center"/>
        <w:rPr>
          <w:i/>
        </w:rPr>
      </w:pPr>
      <w:r>
        <w:rPr>
          <w:i/>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67" w:name="page_52"/>
      <w:bookmarkEnd w:id="67"/>
      <w:r>
        <w:rPr>
          <w:b/>
        </w:rPr>
        <w:t>IN WITNESS WHEREOF</w:t>
      </w:r>
      <w:r>
        <w:rPr/>
        <w:t>, the parties hereto have caused this Agreement to be duly executed effective the 10</w:t>
      </w:r>
      <w:r>
        <w:rPr>
          <w:position w:val="8"/>
          <w:sz w:val="19"/>
        </w:rPr>
        <w:t>th</w:t>
      </w:r>
      <w:r>
        <w:rPr/>
        <w:t xml:space="preserve"> day of August, 2026.</w:t>
      </w:r>
    </w:p>
    <w:tbl>
      <w:tblPr>
        <w:tblW w:w="6830" w:type="dxa"/>
        <w:jc w:val="left"/>
        <w:tblInd w:w="0" w:type="dxa"/>
        <w:tblLayout w:type="fixed"/>
        <w:tblCellMar>
          <w:top w:w="0" w:type="dxa"/>
          <w:left w:w="0" w:type="dxa"/>
          <w:bottom w:w="0" w:type="dxa"/>
          <w:right w:w="0" w:type="dxa"/>
        </w:tblCellMar>
      </w:tblPr>
      <w:tblGrid>
        <w:gridCol w:w="665"/>
        <w:gridCol w:w="2285"/>
        <w:gridCol w:w="60"/>
        <w:gridCol w:w="650"/>
        <w:gridCol w:w="3170"/>
      </w:tblGrid>
      <w:tr>
        <w:trPr/>
        <w:tc>
          <w:tcPr>
            <w:tcW w:w="2950" w:type="dxa"/>
            <w:gridSpan w:val="2"/>
            <w:tcBorders/>
            <w:vAlign w:val="center"/>
          </w:tcPr>
          <w:p>
            <w:pPr>
              <w:pStyle w:val="TableContents"/>
              <w:bidi w:val="0"/>
              <w:spacing w:before="0" w:after="283"/>
              <w:jc w:val="both"/>
              <w:rPr>
                <w:b/>
              </w:rPr>
            </w:pPr>
            <w:r>
              <w:rPr>
                <w:b/>
              </w:rPr>
              <w:t>SPHERE 3D CORP.</w:t>
            </w:r>
          </w:p>
        </w:tc>
        <w:tc>
          <w:tcPr>
            <w:tcW w:w="60" w:type="dxa"/>
            <w:tcBorders/>
            <w:vAlign w:val="center"/>
          </w:tcPr>
          <w:p>
            <w:pPr>
              <w:pStyle w:val="TableContents"/>
              <w:bidi w:val="0"/>
              <w:spacing w:before="0" w:after="283"/>
              <w:jc w:val="both"/>
              <w:rPr/>
            </w:pPr>
            <w:r>
              <w:rPr/>
              <w:t> </w:t>
            </w:r>
          </w:p>
        </w:tc>
        <w:tc>
          <w:tcPr>
            <w:tcW w:w="3820" w:type="dxa"/>
            <w:gridSpan w:val="2"/>
            <w:tcBorders/>
            <w:vAlign w:val="center"/>
          </w:tcPr>
          <w:p>
            <w:pPr>
              <w:pStyle w:val="TableContents"/>
              <w:bidi w:val="0"/>
              <w:spacing w:before="0" w:after="283"/>
              <w:jc w:val="both"/>
              <w:rPr>
                <w:b/>
              </w:rPr>
            </w:pPr>
            <w:r>
              <w:rPr>
                <w:b/>
              </w:rPr>
              <w:t>TSX TRUST COMPANY</w:t>
            </w:r>
          </w:p>
        </w:tc>
      </w:tr>
      <w:tr>
        <w:trPr/>
        <w:tc>
          <w:tcPr>
            <w:tcW w:w="295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20" w:type="dxa"/>
            <w:gridSpan w:val="2"/>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r>
              <w:rPr/>
              <w:t>By:</w:t>
            </w:r>
          </w:p>
        </w:tc>
        <w:tc>
          <w:tcPr>
            <w:tcW w:w="2285" w:type="dxa"/>
            <w:tcBorders>
              <w:bottom w:val="single" w:sz="6" w:space="0" w:color="000000"/>
            </w:tcBorders>
            <w:tcMar>
              <w:bottom w:w="28" w:type="dxa"/>
            </w:tcMar>
            <w:vAlign w:val="center"/>
          </w:tcPr>
          <w:p>
            <w:pPr>
              <w:pStyle w:val="TableContents"/>
              <w:bidi w:val="0"/>
              <w:spacing w:before="0" w:after="283"/>
              <w:jc w:val="both"/>
              <w:rPr>
                <w:i/>
              </w:rPr>
            </w:pPr>
            <w:r>
              <w:rPr>
                <w:i/>
              </w:rPr>
              <w:t>/s/ Joel Block</w:t>
            </w:r>
          </w:p>
        </w:tc>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3170" w:type="dxa"/>
            <w:tcBorders>
              <w:bottom w:val="single" w:sz="6" w:space="0" w:color="000000"/>
            </w:tcBorders>
            <w:tcMar>
              <w:bottom w:w="28" w:type="dxa"/>
            </w:tcMar>
            <w:vAlign w:val="center"/>
          </w:tcPr>
          <w:p>
            <w:pPr>
              <w:pStyle w:val="TableContents"/>
              <w:bidi w:val="0"/>
              <w:spacing w:before="0" w:after="283"/>
              <w:jc w:val="both"/>
              <w:rPr>
                <w:i/>
              </w:rPr>
            </w:pPr>
            <w:r>
              <w:rPr>
                <w:i/>
              </w:rPr>
              <w:t>/s/ Oluwole Okunrinla</w:t>
            </w:r>
          </w:p>
        </w:tc>
      </w:tr>
      <w:tr>
        <w:trPr/>
        <w:tc>
          <w:tcPr>
            <w:tcW w:w="665" w:type="dxa"/>
            <w:tcBorders/>
            <w:vAlign w:val="center"/>
          </w:tcPr>
          <w:p>
            <w:pPr>
              <w:pStyle w:val="TableContents"/>
              <w:bidi w:val="0"/>
              <w:spacing w:before="0" w:after="283"/>
              <w:jc w:val="both"/>
              <w:rPr/>
            </w:pPr>
            <w:r>
              <w:rPr/>
              <w:t>Name:</w:t>
            </w:r>
          </w:p>
        </w:tc>
        <w:tc>
          <w:tcPr>
            <w:tcW w:w="2285" w:type="dxa"/>
            <w:tcBorders>
              <w:top w:val="single" w:sz="6" w:space="0" w:color="000000"/>
            </w:tcBorders>
            <w:tcMar>
              <w:top w:w="28" w:type="dxa"/>
            </w:tcMar>
            <w:vAlign w:val="center"/>
          </w:tcPr>
          <w:p>
            <w:pPr>
              <w:pStyle w:val="TableContents"/>
              <w:bidi w:val="0"/>
              <w:spacing w:before="0" w:after="283"/>
              <w:jc w:val="both"/>
              <w:rPr/>
            </w:pPr>
            <w:r>
              <w:rPr/>
              <w:t>Joel Block</w:t>
            </w:r>
          </w:p>
        </w:tc>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3170" w:type="dxa"/>
            <w:tcBorders>
              <w:top w:val="single" w:sz="6" w:space="0" w:color="000000"/>
            </w:tcBorders>
            <w:tcMar>
              <w:top w:w="28" w:type="dxa"/>
            </w:tcMar>
            <w:vAlign w:val="center"/>
          </w:tcPr>
          <w:p>
            <w:pPr>
              <w:pStyle w:val="TableContents"/>
              <w:bidi w:val="0"/>
              <w:spacing w:before="0" w:after="283"/>
              <w:jc w:val="both"/>
              <w:rPr/>
            </w:pPr>
            <w:r>
              <w:rPr/>
              <w:t>Oluwole Okunrinla</w:t>
            </w:r>
          </w:p>
        </w:tc>
      </w:tr>
      <w:tr>
        <w:trPr/>
        <w:tc>
          <w:tcPr>
            <w:tcW w:w="665" w:type="dxa"/>
            <w:tcBorders/>
            <w:vAlign w:val="center"/>
          </w:tcPr>
          <w:p>
            <w:pPr>
              <w:pStyle w:val="TableContents"/>
              <w:bidi w:val="0"/>
              <w:spacing w:before="0" w:after="283"/>
              <w:jc w:val="both"/>
              <w:rPr/>
            </w:pPr>
            <w:r>
              <w:rPr/>
              <w:t>Title:</w:t>
            </w:r>
          </w:p>
        </w:tc>
        <w:tc>
          <w:tcPr>
            <w:tcW w:w="2285" w:type="dxa"/>
            <w:tcBorders/>
            <w:vAlign w:val="center"/>
          </w:tcPr>
          <w:p>
            <w:pPr>
              <w:pStyle w:val="TableContents"/>
              <w:bidi w:val="0"/>
              <w:spacing w:before="0" w:after="283"/>
              <w:jc w:val="both"/>
              <w:rPr/>
            </w:pPr>
            <w:r>
              <w:rPr/>
              <w:t>Chief Executive Officer</w:t>
            </w:r>
          </w:p>
        </w:tc>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3170" w:type="dxa"/>
            <w:tcBorders/>
            <w:vAlign w:val="center"/>
          </w:tcPr>
          <w:p>
            <w:pPr>
              <w:pStyle w:val="TableContents"/>
              <w:bidi w:val="0"/>
              <w:spacing w:before="0" w:after="283"/>
              <w:jc w:val="both"/>
              <w:rPr/>
            </w:pPr>
            <w:r>
              <w:rPr/>
              <w:t>Corporate Trust Officer</w:t>
            </w:r>
          </w:p>
        </w:tc>
      </w:tr>
      <w:tr>
        <w:trPr/>
        <w:tc>
          <w:tcPr>
            <w:tcW w:w="665" w:type="dxa"/>
            <w:tcBorders/>
            <w:vAlign w:val="center"/>
          </w:tcPr>
          <w:p>
            <w:pPr>
              <w:pStyle w:val="TableContents"/>
              <w:bidi w:val="0"/>
              <w:spacing w:before="0" w:after="283"/>
              <w:jc w:val="both"/>
              <w:rPr/>
            </w:pPr>
            <w:r>
              <w:rPr/>
              <w:t> </w:t>
            </w:r>
            <w:r>
              <w:rPr/>
              <w:br/>
              <w:t> </w:t>
            </w:r>
          </w:p>
        </w:tc>
        <w:tc>
          <w:tcPr>
            <w:tcW w:w="2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r>
              <w:rPr/>
              <w:t>By:</w:t>
            </w:r>
          </w:p>
        </w:tc>
        <w:tc>
          <w:tcPr>
            <w:tcW w:w="2285" w:type="dxa"/>
            <w:tcBorders>
              <w:bottom w:val="single" w:sz="6" w:space="0" w:color="000000"/>
            </w:tcBorders>
            <w:tcMar>
              <w:bottom w:w="28" w:type="dxa"/>
            </w:tcMar>
            <w:vAlign w:val="center"/>
          </w:tcPr>
          <w:p>
            <w:pPr>
              <w:pStyle w:val="TableContents"/>
              <w:bidi w:val="0"/>
              <w:spacing w:before="0" w:after="283"/>
              <w:jc w:val="both"/>
              <w:rPr>
                <w:i/>
              </w:rPr>
            </w:pPr>
            <w:r>
              <w:rPr>
                <w:i/>
              </w:rPr>
              <w:t>/s/ Kurt Kalbfleisch</w:t>
            </w:r>
          </w:p>
        </w:tc>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3170" w:type="dxa"/>
            <w:tcBorders>
              <w:bottom w:val="single" w:sz="6" w:space="0" w:color="000000"/>
            </w:tcBorders>
            <w:tcMar>
              <w:bottom w:w="28" w:type="dxa"/>
            </w:tcMar>
            <w:vAlign w:val="center"/>
          </w:tcPr>
          <w:p>
            <w:pPr>
              <w:pStyle w:val="TableContents"/>
              <w:bidi w:val="0"/>
              <w:spacing w:before="0" w:after="283"/>
              <w:jc w:val="both"/>
              <w:rPr>
                <w:i/>
              </w:rPr>
            </w:pPr>
            <w:r>
              <w:rPr>
                <w:i/>
              </w:rPr>
              <w:t>/s/ Donald Crawford</w:t>
            </w:r>
          </w:p>
        </w:tc>
      </w:tr>
      <w:tr>
        <w:trPr/>
        <w:tc>
          <w:tcPr>
            <w:tcW w:w="665" w:type="dxa"/>
            <w:tcBorders/>
            <w:vAlign w:val="center"/>
          </w:tcPr>
          <w:p>
            <w:pPr>
              <w:pStyle w:val="TableContents"/>
              <w:bidi w:val="0"/>
              <w:spacing w:before="0" w:after="283"/>
              <w:jc w:val="both"/>
              <w:rPr/>
            </w:pPr>
            <w:r>
              <w:rPr/>
              <w:t>Name:</w:t>
            </w:r>
          </w:p>
        </w:tc>
        <w:tc>
          <w:tcPr>
            <w:tcW w:w="2285" w:type="dxa"/>
            <w:tcBorders>
              <w:top w:val="single" w:sz="6" w:space="0" w:color="000000"/>
            </w:tcBorders>
            <w:tcMar>
              <w:top w:w="28" w:type="dxa"/>
            </w:tcMar>
            <w:vAlign w:val="center"/>
          </w:tcPr>
          <w:p>
            <w:pPr>
              <w:pStyle w:val="TableContents"/>
              <w:bidi w:val="0"/>
              <w:spacing w:before="0" w:after="283"/>
              <w:jc w:val="both"/>
              <w:rPr/>
            </w:pPr>
            <w:r>
              <w:rPr/>
              <w:t>Kurt Kalbfleisch</w:t>
            </w:r>
          </w:p>
        </w:tc>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3170" w:type="dxa"/>
            <w:tcBorders>
              <w:top w:val="single" w:sz="6" w:space="0" w:color="000000"/>
            </w:tcBorders>
            <w:tcMar>
              <w:top w:w="28" w:type="dxa"/>
            </w:tcMar>
            <w:vAlign w:val="center"/>
          </w:tcPr>
          <w:p>
            <w:pPr>
              <w:pStyle w:val="TableContents"/>
              <w:bidi w:val="0"/>
              <w:spacing w:before="0" w:after="283"/>
              <w:jc w:val="both"/>
              <w:rPr/>
            </w:pPr>
            <w:r>
              <w:rPr/>
              <w:t>Donald Crawford</w:t>
            </w:r>
          </w:p>
        </w:tc>
      </w:tr>
      <w:tr>
        <w:trPr/>
        <w:tc>
          <w:tcPr>
            <w:tcW w:w="665" w:type="dxa"/>
            <w:tcBorders/>
            <w:vAlign w:val="center"/>
          </w:tcPr>
          <w:p>
            <w:pPr>
              <w:pStyle w:val="TableContents"/>
              <w:bidi w:val="0"/>
              <w:spacing w:before="0" w:after="283"/>
              <w:jc w:val="both"/>
              <w:rPr/>
            </w:pPr>
            <w:r>
              <w:rPr/>
              <w:t>Title:</w:t>
            </w:r>
          </w:p>
        </w:tc>
        <w:tc>
          <w:tcPr>
            <w:tcW w:w="2285" w:type="dxa"/>
            <w:tcBorders/>
            <w:vAlign w:val="center"/>
          </w:tcPr>
          <w:p>
            <w:pPr>
              <w:pStyle w:val="TableContents"/>
              <w:bidi w:val="0"/>
              <w:spacing w:before="0" w:after="283"/>
              <w:jc w:val="both"/>
              <w:rPr/>
            </w:pPr>
            <w:r>
              <w:rPr/>
              <w:t>Chief Financial Officer</w:t>
            </w:r>
          </w:p>
        </w:tc>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3170" w:type="dxa"/>
            <w:tcBorders/>
            <w:vAlign w:val="center"/>
          </w:tcPr>
          <w:p>
            <w:pPr>
              <w:pStyle w:val="TableContents"/>
              <w:bidi w:val="0"/>
              <w:spacing w:before="0" w:after="283"/>
              <w:jc w:val="both"/>
              <w:rPr/>
            </w:pPr>
            <w:r>
              <w:rPr/>
              <w:t>Senior Manager, Corporate Trust</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68" w:name="page_53"/>
      <w:bookmarkEnd w:id="68"/>
      <w:r>
        <w:rPr>
          <w:b/>
        </w:rPr>
        <w:t>SCHEDULE "A"</w:t>
      </w:r>
    </w:p>
    <w:p>
      <w:pPr>
        <w:pStyle w:val="TextBody"/>
        <w:bidi w:val="0"/>
        <w:spacing w:before="200" w:after="200"/>
        <w:ind w:left="1440" w:right="0" w:hanging="0"/>
        <w:jc w:val="both"/>
        <w:rPr/>
      </w:pPr>
      <w:r>
        <w:rPr/>
        <w:t>to a Shareholder Rights Plan Agreement made as of August 10, 2026, between Sphere 3D Corp. and TSX Trust Company</w:t>
      </w:r>
    </w:p>
    <w:p>
      <w:pPr>
        <w:pStyle w:val="TextBody"/>
        <w:bidi w:val="0"/>
        <w:spacing w:before="200" w:after="200"/>
        <w:jc w:val="center"/>
        <w:rPr>
          <w:b/>
        </w:rPr>
      </w:pPr>
      <w:r>
        <w:rPr>
          <w:b/>
        </w:rPr>
        <w:t>[Form of Rights Certificate]</w:t>
      </w:r>
    </w:p>
    <w:tbl>
      <w:tblPr>
        <w:tblW w:w="2050" w:type="dxa"/>
        <w:jc w:val="left"/>
        <w:tblInd w:w="0" w:type="dxa"/>
        <w:tblLayout w:type="fixed"/>
        <w:tblCellMar>
          <w:top w:w="0" w:type="dxa"/>
          <w:left w:w="0" w:type="dxa"/>
          <w:bottom w:w="0" w:type="dxa"/>
          <w:right w:w="0" w:type="dxa"/>
        </w:tblCellMar>
      </w:tblPr>
      <w:tblGrid>
        <w:gridCol w:w="1415"/>
        <w:gridCol w:w="635"/>
      </w:tblGrid>
      <w:tr>
        <w:trPr/>
        <w:tc>
          <w:tcPr>
            <w:tcW w:w="1415" w:type="dxa"/>
            <w:tcBorders/>
            <w:vAlign w:val="center"/>
          </w:tcPr>
          <w:p>
            <w:pPr>
              <w:pStyle w:val="TableContents"/>
              <w:bidi w:val="0"/>
              <w:spacing w:before="0" w:after="283"/>
              <w:jc w:val="left"/>
              <w:rPr/>
            </w:pPr>
            <w:r>
              <w:rPr/>
              <w:t>Certificate No.</w:t>
            </w:r>
          </w:p>
        </w:tc>
        <w:tc>
          <w:tcPr>
            <w:tcW w:w="635" w:type="dxa"/>
            <w:tcBorders/>
            <w:vAlign w:val="center"/>
          </w:tcPr>
          <w:p>
            <w:pPr>
              <w:pStyle w:val="TableContents"/>
              <w:bidi w:val="0"/>
              <w:spacing w:before="0" w:after="283"/>
              <w:jc w:val="right"/>
              <w:rPr/>
            </w:pPr>
            <w:r>
              <w:rPr/>
              <w:t>Rights</w:t>
            </w:r>
          </w:p>
        </w:tc>
      </w:tr>
    </w:tbl>
    <w:p>
      <w:pPr>
        <w:pStyle w:val="TextBody"/>
        <w:bidi w:val="0"/>
        <w:spacing w:before="200" w:after="200"/>
        <w:jc w:val="both"/>
        <w:rPr/>
      </w:pPr>
      <w:r>
        <w:rPr/>
        <w:t>THE RIGHTS ARE SUBJECT TO REDEMPTION, AT THE OPTION OF THE CORPORATION, AND EXCHANGE, IN EACH CASE ON THE TERMS SET FORTH IN THE SHAREHOLDER RIGHTS PLAN AGREEMENT. UNDER CERTAIN CIRCUMSTANCES (SPECIFIED IN SUBSECTION 3.1(b) OF SUCH AGREEMENT), RIGHTS BENEFICIALLY OWNED BY AN ACQUIRING PERSON, CERTAIN RELATED PARTIES OF AN ACQUIRING PERSON OR A TRANSFEREE OF AN ACQUIRING PERSON OR ANY SUCH RELATED PARTIES WILL BECOME VOID WITHOUT FURTHER ACTION.</w:t>
      </w:r>
    </w:p>
    <w:p>
      <w:pPr>
        <w:pStyle w:val="TextBody"/>
        <w:bidi w:val="0"/>
        <w:spacing w:before="200" w:after="200"/>
        <w:jc w:val="center"/>
        <w:rPr/>
      </w:pPr>
      <w:r>
        <w:rPr/>
        <w:t>Rights Certificate</w:t>
      </w:r>
    </w:p>
    <w:p>
      <w:pPr>
        <w:pStyle w:val="TextBody"/>
        <w:bidi w:val="0"/>
        <w:spacing w:before="200" w:after="200"/>
        <w:ind w:left="0" w:right="0" w:firstLine="720"/>
        <w:jc w:val="both"/>
        <w:rPr/>
      </w:pPr>
      <w:r>
        <w:rPr/>
        <w:t>This certifies that __________________________ is the registered holder of the number of Rights set forth above, each of which entitles the registered holder thereof, subject to the terms, provisions and conditions of the Shareholder Rights Plan Agreement made as of August 10, 2026, as such agreement may from time to time be amended, restated, varied or replaced (the "</w:t>
      </w:r>
      <w:r>
        <w:rPr>
          <w:b/>
        </w:rPr>
        <w:t>Rights Agreement</w:t>
      </w:r>
      <w:r>
        <w:rPr/>
        <w:t>") between Sphere 3D Corp., a corporation established pursuant to the laws of Ontario, (the "</w:t>
      </w:r>
      <w:r>
        <w:rPr>
          <w:b/>
        </w:rPr>
        <w:t>Corporation</w:t>
      </w:r>
      <w:r>
        <w:rPr/>
        <w:t>") and TSX Trust Company, a trust company existing under the laws of Canada, as Rights Agent (the "</w:t>
      </w:r>
      <w:r>
        <w:rPr>
          <w:b/>
        </w:rPr>
        <w:t>Rights Agent</w:t>
      </w:r>
      <w:r>
        <w:rPr/>
        <w:t>") (which term shall include any successor Rights Agent under the Rights Agreement), to purchase from the Corporation, at any time after the Separation Time and prior to the Expiration Time (as such terms are defined in the Rights Agreement), one fully paid common share of the Corporation (a "</w:t>
      </w:r>
      <w:r>
        <w:rPr>
          <w:b/>
        </w:rPr>
        <w:t>Common Share</w:t>
      </w:r>
      <w:r>
        <w:rPr/>
        <w:t>") at the Exercise Price referred to below, upon presentation and surrender of this Rights Certificate, together with the Form of Election to Exercise appropriately completed and duly executed, to the Rights Agent at its principal office in Toronto, Ontario. Until adjustment thereof in certain events as provided in the Rights Agreement, the Exercise Price shall be equal to three times the Market Price per Common Share (payable in cash, certified cheque or money order payable to the order of the Corporation).</w:t>
      </w:r>
    </w:p>
    <w:p>
      <w:pPr>
        <w:pStyle w:val="TextBody"/>
        <w:bidi w:val="0"/>
        <w:spacing w:before="200" w:after="200"/>
        <w:jc w:val="both"/>
        <w:rPr/>
      </w:pPr>
      <w:r>
        <w:rPr/>
        <w:t>The number of Common Shares which may be purchased for the Exercise Price is subject to adjustment as set forth in the Rights Agreement.</w:t>
      </w:r>
    </w:p>
    <w:p>
      <w:pPr>
        <w:pStyle w:val="TextBody"/>
        <w:bidi w:val="0"/>
        <w:spacing w:before="200" w:after="200"/>
        <w:jc w:val="both"/>
        <w:rPr/>
      </w:pPr>
      <w:r>
        <w:rPr/>
        <w:t>This Rights Certificate is subject to all of the terms, provisions and conditions of the Rights Agreement, which terms, provisions and conditions are hereby incorporated by reference and made a part hereof and to which Rights Agreement reference is hereby made for a full description of the rights, limitations of rights, obligations, duties and immunities thereunder of the Rights Agent, the Corporation and the holder of the Rights Certificates. By acceptance hereof, the holder is deemed to accept, and agrees to be bound by the terms of the Rights Agreement. Copies of the Rights Agreement are on file at the principal executive offices of the Corporation and are available upon written request.</w:t>
      </w:r>
    </w:p>
    <w:p>
      <w:pPr>
        <w:pStyle w:val="TextBody"/>
        <w:bidi w:val="0"/>
        <w:spacing w:before="200" w:after="200"/>
        <w:jc w:val="both"/>
        <w:rPr/>
      </w:pPr>
      <w:r>
        <w:rPr/>
        <w:t>This Rights Certificate, with or without other Rights Certificates, upon surrender at the principal office of the Rights Agent in Toronto, Ontario may be exchanged for another Rights Certificate or Rights Certificates of like tenor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pStyle w:val="HorizontalLine"/>
        <w:pBdr>
          <w:bottom w:val="single" w:sz="30" w:space="0" w:color="000000"/>
        </w:pBdr>
        <w:bidi w:val="0"/>
        <w:jc w:val="left"/>
        <w:rPr/>
      </w:pPr>
      <w:r>
        <w:rPr/>
      </w:r>
    </w:p>
    <w:p>
      <w:pPr>
        <w:pStyle w:val="TextBody"/>
        <w:bidi w:val="0"/>
        <w:spacing w:before="200" w:after="200"/>
        <w:jc w:val="both"/>
        <w:rPr/>
      </w:pPr>
      <w:bookmarkStart w:id="69" w:name="page_54"/>
      <w:bookmarkEnd w:id="69"/>
      <w:r>
        <w:rPr/>
        <w:t>In certain circumstances described in the Rights Agreement, each Right evidenced hereby may be adjusted so as to entitle the registered holder thereof to purchase or receive securities or shares in the capital of the Corporation other than Common Shares or more or less than one Common Share (or a combination thereof), all as provided in the Rights Agreement.</w:t>
      </w:r>
    </w:p>
    <w:p>
      <w:pPr>
        <w:pStyle w:val="TextBody"/>
        <w:bidi w:val="0"/>
        <w:spacing w:before="200" w:after="200"/>
        <w:jc w:val="both"/>
        <w:rPr/>
      </w:pPr>
      <w:r>
        <w:rPr/>
        <w:t>Subject to the provisions of the Rights Agreement, the Rights evidenced by this Certificate may be redeemed by the Corporation at a redemption price of $0.00001 per Right subject to adjustment in certain events. In addition, under certain circumstances after a Flip-in Event, the Rights may be exchanged, in whole or in part, for Common Shares. Immediately upon the action of the Board authorizing any such exchange, and without any further action or any notice, the Rights (other than Rights that are not subject to such exchange) will terminate and the Rights will only enable holders to receive the Common Shares  issuable upon such exchange.</w:t>
      </w:r>
    </w:p>
    <w:p>
      <w:pPr>
        <w:pStyle w:val="TextBody"/>
        <w:bidi w:val="0"/>
        <w:spacing w:before="200" w:after="200"/>
        <w:jc w:val="both"/>
        <w:rPr/>
      </w:pPr>
      <w:r>
        <w:rPr/>
        <w:t>No fractional Common Shares will be issued upon the exercise of any Right or Rights evidenced hereby, but in lieu thereof a cash payment will be made, as provided in the Rights Agreement.</w:t>
      </w:r>
    </w:p>
    <w:p>
      <w:pPr>
        <w:pStyle w:val="TextBody"/>
        <w:bidi w:val="0"/>
        <w:spacing w:before="200" w:after="200"/>
        <w:jc w:val="both"/>
        <w:rPr/>
      </w:pPr>
      <w:r>
        <w:rPr/>
        <w:t>No holder of this Rights Certificate, as such, shall be entitled to vote or receive dividends or be deemed for any purpose the holder of Common Shares or any other securities which may at any time be issuable upon the exercise or exchange hereof, nor shall anything contained in the Rights Agreement or herein be construed to confer upon the holder hereof, as such, any of the rights of a shareholder of the Corporation or any right to vote for the election of directors or upon any matter submitted to shareholders at any meeting thereof, or to give or withhold consent to any action, or to receive notice of any meeting or other actions affecting shareholders (except as provided in the Rights Agreement), or to receive dividends or subscription rights or otherwise, until the Rights evidenced by this Rights Certificate shall have been exercised or exchanged as provided in the Rights Agreement.</w:t>
      </w:r>
    </w:p>
    <w:p>
      <w:pPr>
        <w:pStyle w:val="TextBody"/>
        <w:bidi w:val="0"/>
        <w:spacing w:before="200" w:after="200"/>
        <w:jc w:val="both"/>
        <w:rPr/>
      </w:pPr>
      <w:r>
        <w:rPr/>
        <w:t>This Rights Certificate shall not be valid for any purpose until it shall have been countersigned by the Rights Agent.</w:t>
      </w:r>
    </w:p>
    <w:p>
      <w:pPr>
        <w:pStyle w:val="TextBody"/>
        <w:bidi w:val="0"/>
        <w:spacing w:before="200" w:after="200"/>
        <w:jc w:val="both"/>
        <w:rPr/>
      </w:pPr>
      <w:r>
        <w:rPr/>
        <w:t>WITNESS the facsimile signature of the proper officers of the Corporation.</w:t>
      </w:r>
    </w:p>
    <w:tbl>
      <w:tblPr>
        <w:tblW w:w="3369" w:type="dxa"/>
        <w:jc w:val="left"/>
        <w:tblInd w:w="0" w:type="dxa"/>
        <w:tblLayout w:type="fixed"/>
        <w:tblCellMar>
          <w:top w:w="0" w:type="dxa"/>
          <w:left w:w="0" w:type="dxa"/>
          <w:bottom w:w="0" w:type="dxa"/>
          <w:right w:w="0" w:type="dxa"/>
        </w:tblCellMar>
      </w:tblPr>
      <w:tblGrid>
        <w:gridCol w:w="530"/>
        <w:gridCol w:w="60"/>
        <w:gridCol w:w="60"/>
        <w:gridCol w:w="2272"/>
        <w:gridCol w:w="447"/>
      </w:tblGrid>
      <w:tr>
        <w:trPr/>
        <w:tc>
          <w:tcPr>
            <w:tcW w:w="530" w:type="dxa"/>
            <w:tcBorders/>
            <w:vAlign w:val="center"/>
          </w:tcPr>
          <w:p>
            <w:pPr>
              <w:pStyle w:val="TableContents"/>
              <w:bidi w:val="0"/>
              <w:spacing w:before="0" w:after="283"/>
              <w:jc w:val="left"/>
              <w:rPr/>
            </w:pPr>
            <w:r>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b/>
              </w:rPr>
            </w:pPr>
            <w:r>
              <w:rPr>
                <w:b/>
              </w:rPr>
              <w:t>SPHERE 3D CORP.</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By:</w:t>
            </w:r>
          </w:p>
        </w:tc>
        <w:tc>
          <w:tcPr>
            <w:tcW w:w="44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By:</w:t>
            </w:r>
          </w:p>
        </w:tc>
        <w:tc>
          <w:tcPr>
            <w:tcW w:w="44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b/>
              </w:rPr>
            </w:pPr>
            <w:r>
              <w:rPr>
                <w:b/>
              </w:rPr>
              <w:t>TSX TRUST COMPANY</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By:</w:t>
            </w:r>
          </w:p>
        </w:tc>
        <w:tc>
          <w:tcPr>
            <w:tcW w:w="447"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S-2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70" w:name="page_55"/>
      <w:bookmarkEnd w:id="70"/>
      <w:r>
        <w:rPr>
          <w:b/>
        </w:rPr>
        <w:t>FORM OF ELECTION TO EXERCISE</w:t>
      </w:r>
    </w:p>
    <w:p>
      <w:pPr>
        <w:pStyle w:val="TextBody"/>
        <w:bidi w:val="0"/>
        <w:spacing w:before="200" w:after="200"/>
        <w:jc w:val="both"/>
        <w:rPr>
          <w:b/>
        </w:rPr>
      </w:pPr>
      <w:r>
        <w:rPr>
          <w:b/>
        </w:rPr>
        <w:t>SPHERE 3D CORP.</w:t>
      </w:r>
    </w:p>
    <w:p>
      <w:pPr>
        <w:pStyle w:val="TextBody"/>
        <w:bidi w:val="0"/>
        <w:spacing w:before="200" w:after="200"/>
        <w:jc w:val="both"/>
        <w:rPr/>
      </w:pPr>
      <w:r>
        <w:rPr/>
        <w:t>The undersigned hereby irrevocably elects to exercise _______________________ whole Rights represented by this Rights Certificate to purchase the Common Shares issuable upon the exercise of such Rights and requests that certificates for such Common Shares be issued in the name of and delivered to:</w:t>
      </w:r>
    </w:p>
    <w:tbl>
      <w:tblPr>
        <w:tblW w:w="8035" w:type="dxa"/>
        <w:jc w:val="left"/>
        <w:tblInd w:w="0" w:type="dxa"/>
        <w:tblLayout w:type="fixed"/>
        <w:tblCellMar>
          <w:top w:w="0" w:type="dxa"/>
          <w:left w:w="0" w:type="dxa"/>
          <w:bottom w:w="0" w:type="dxa"/>
          <w:right w:w="0" w:type="dxa"/>
        </w:tblCellMar>
      </w:tblPr>
      <w:tblGrid>
        <w:gridCol w:w="5825"/>
        <w:gridCol w:w="60"/>
        <w:gridCol w:w="2090"/>
        <w:gridCol w:w="6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Rights Certificate No.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City and Province</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Social Insurance No. or other taxpayer identification numbers</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00" w:after="200"/>
        <w:jc w:val="both"/>
        <w:rPr/>
      </w:pPr>
      <w:r>
        <w:rPr/>
        <w:t>If such number of Rights shall not be all the Rights evidenced by this Rights Certificate, a new Rights Certificate for the balance of such Rights shall be registered in the name of and delivered to:</w:t>
      </w:r>
    </w:p>
    <w:tbl>
      <w:tblPr>
        <w:tblW w:w="8045" w:type="dxa"/>
        <w:jc w:val="left"/>
        <w:tblInd w:w="0" w:type="dxa"/>
        <w:tblLayout w:type="fixed"/>
        <w:tblCellMar>
          <w:top w:w="0" w:type="dxa"/>
          <w:left w:w="0" w:type="dxa"/>
          <w:bottom w:w="0" w:type="dxa"/>
          <w:right w:w="0" w:type="dxa"/>
        </w:tblCellMar>
      </w:tblPr>
      <w:tblGrid>
        <w:gridCol w:w="5825"/>
        <w:gridCol w:w="60"/>
        <w:gridCol w:w="2100"/>
        <w:gridCol w:w="6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City and Province</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Social Insurance No. or other taxpayer identification numbers</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3"/>
        <w:gridCol w:w="216"/>
        <w:gridCol w:w="60"/>
        <w:gridCol w:w="8186"/>
      </w:tblGrid>
      <w:tr>
        <w:trPr/>
        <w:tc>
          <w:tcPr>
            <w:tcW w:w="1743" w:type="dxa"/>
            <w:tcBorders/>
            <w:vAlign w:val="center"/>
          </w:tcPr>
          <w:p>
            <w:pPr>
              <w:pStyle w:val="TableContents"/>
              <w:bidi w:val="0"/>
              <w:spacing w:before="0" w:after="283"/>
              <w:jc w:val="both"/>
              <w:rPr/>
            </w:pPr>
            <w:r>
              <w:rPr/>
              <w:t>Date:</w:t>
            </w:r>
          </w:p>
        </w:tc>
        <w:tc>
          <w:tcPr>
            <w:tcW w:w="216" w:type="dxa"/>
            <w:tcBorders>
              <w:bottom w:val="single" w:sz="6"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tcBorders>
              <w:bottom w:val="single" w:sz="6" w:space="0" w:color="000000"/>
            </w:tcBorders>
            <w:tcMar>
              <w:bottom w:w="28" w:type="dxa"/>
            </w:tcMar>
            <w:vAlign w:val="center"/>
          </w:tcPr>
          <w:p>
            <w:pPr>
              <w:pStyle w:val="TableContents"/>
              <w:bidi w:val="0"/>
              <w:spacing w:before="0" w:after="283"/>
              <w:jc w:val="both"/>
              <w:rPr/>
            </w:pPr>
            <w:r>
              <w:rPr/>
              <w:t> </w:t>
            </w:r>
          </w:p>
        </w:tc>
      </w:tr>
      <w:tr>
        <w:trPr/>
        <w:tc>
          <w:tcPr>
            <w:tcW w:w="1743" w:type="dxa"/>
            <w:tcBorders/>
            <w:vAlign w:val="center"/>
          </w:tcPr>
          <w:p>
            <w:pPr>
              <w:pStyle w:val="TableContents"/>
              <w:bidi w:val="0"/>
              <w:spacing w:before="0" w:after="283"/>
              <w:jc w:val="both"/>
              <w:rPr/>
            </w:pPr>
            <w:r>
              <w:rPr/>
              <w:t> </w:t>
            </w:r>
          </w:p>
        </w:tc>
        <w:tc>
          <w:tcPr>
            <w:tcW w:w="216" w:type="dxa"/>
            <w:tcBorders>
              <w:top w:val="single" w:sz="6" w:space="0" w:color="000000"/>
            </w:tcBorders>
            <w:tcMar>
              <w:top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tcBorders/>
            <w:vAlign w:val="center"/>
          </w:tcPr>
          <w:p>
            <w:pPr>
              <w:pStyle w:val="TableContents"/>
              <w:bidi w:val="0"/>
              <w:spacing w:before="0" w:after="283"/>
              <w:jc w:val="both"/>
              <w:rPr/>
            </w:pPr>
            <w:r>
              <w:rPr/>
              <w:t>Signature</w:t>
            </w:r>
          </w:p>
        </w:tc>
      </w:tr>
      <w:tr>
        <w:trPr/>
        <w:tc>
          <w:tcPr>
            <w:tcW w:w="1743"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tcBorders/>
            <w:vAlign w:val="center"/>
          </w:tcPr>
          <w:p>
            <w:pPr>
              <w:pStyle w:val="TableContents"/>
              <w:bidi w:val="0"/>
              <w:spacing w:before="0" w:after="283"/>
              <w:jc w:val="both"/>
              <w:rPr/>
            </w:pPr>
            <w:r>
              <w:rPr/>
              <w:t> </w:t>
            </w:r>
          </w:p>
        </w:tc>
      </w:tr>
      <w:tr>
        <w:trPr/>
        <w:tc>
          <w:tcPr>
            <w:tcW w:w="1743" w:type="dxa"/>
            <w:tcBorders>
              <w:bottom w:val="single" w:sz="6" w:space="0" w:color="000000"/>
            </w:tcBorders>
            <w:tcMar>
              <w:bottom w:w="28" w:type="dxa"/>
            </w:tcMar>
            <w:vAlign w:val="center"/>
          </w:tcPr>
          <w:p>
            <w:pPr>
              <w:pStyle w:val="TableContents"/>
              <w:bidi w:val="0"/>
              <w:spacing w:before="0" w:after="283"/>
              <w:jc w:val="both"/>
              <w:rPr/>
            </w:pPr>
            <w:r>
              <w:rPr/>
              <w:t> </w:t>
            </w:r>
          </w:p>
        </w:tc>
        <w:tc>
          <w:tcPr>
            <w:tcW w:w="216" w:type="dxa"/>
            <w:tcBorders>
              <w:bottom w:val="single" w:sz="6"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vMerge w:val="restart"/>
            <w:tcBorders/>
            <w:vAlign w:val="center"/>
          </w:tcPr>
          <w:p>
            <w:pPr>
              <w:pStyle w:val="TableContents"/>
              <w:bidi w:val="0"/>
              <w:spacing w:before="0" w:after="283"/>
              <w:jc w:val="both"/>
              <w:rPr/>
            </w:pPr>
            <w:r>
              <w:rPr/>
              <w:t>(Signature must correspond to name as written upon the face of this Rights Certificate in every particular, without alteration or enlargement or any change whatsoever)</w:t>
            </w:r>
          </w:p>
        </w:tc>
      </w:tr>
      <w:tr>
        <w:trPr/>
        <w:tc>
          <w:tcPr>
            <w:tcW w:w="1959" w:type="dxa"/>
            <w:gridSpan w:val="2"/>
            <w:tcBorders/>
            <w:vAlign w:val="center"/>
          </w:tcPr>
          <w:p>
            <w:pPr>
              <w:pStyle w:val="TableContents"/>
              <w:bidi w:val="0"/>
              <w:spacing w:before="0" w:after="283"/>
              <w:jc w:val="both"/>
              <w:rPr/>
            </w:pPr>
            <w:r>
              <w:rPr/>
              <w:t>Written Signature Guaranteed</w:t>
            </w:r>
          </w:p>
        </w:tc>
        <w:tc>
          <w:tcPr>
            <w:tcW w:w="60" w:type="dxa"/>
            <w:tcBorders/>
            <w:vAlign w:val="center"/>
          </w:tcPr>
          <w:p>
            <w:pPr>
              <w:pStyle w:val="TableContents"/>
              <w:bidi w:val="0"/>
              <w:spacing w:before="0" w:after="283"/>
              <w:jc w:val="both"/>
              <w:rPr/>
            </w:pPr>
            <w:r>
              <w:rPr/>
              <w:t> </w:t>
            </w:r>
          </w:p>
        </w:tc>
        <w:tc>
          <w:tcPr>
            <w:tcW w:w="8186" w:type="dxa"/>
            <w:vMerge w:val="continue"/>
            <w:tcBorders/>
            <w:vAlign w:val="center"/>
          </w:tcPr>
          <w:p>
            <w:pPr>
              <w:pStyle w:val="Normal"/>
              <w:bidi w:val="0"/>
              <w:jc w:val="left"/>
              <w:rPr/>
            </w:pPr>
            <w:r>
              <w:rPr/>
            </w:r>
          </w:p>
        </w:tc>
      </w:tr>
    </w:tbl>
    <w:p>
      <w:pPr>
        <w:pStyle w:val="TextBody"/>
        <w:bidi w:val="0"/>
        <w:spacing w:before="200" w:after="200"/>
        <w:jc w:val="both"/>
        <w:rPr/>
      </w:pPr>
      <w:r>
        <w:rPr/>
        <w:t>Signature must be Medallion guaranteed (or such other form acceptable to the Rights Agent) by a Canadian Schedule I chartered bank, a member of the Securities Transfer Agent Medallion Program (STAMP), a member of the Stock Exchanges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 the United States or banks and trust companies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S-3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71" w:name="page_56"/>
      <w:bookmarkEnd w:id="71"/>
      <w:r>
        <w:rPr/>
        <w:t>(To be completed by the holder if true)</w:t>
      </w:r>
    </w:p>
    <w:p>
      <w:pPr>
        <w:pStyle w:val="TextBody"/>
        <w:bidi w:val="0"/>
        <w:spacing w:before="200" w:after="200"/>
        <w:jc w:val="both"/>
        <w:rPr/>
      </w:pPr>
      <w:r>
        <w:rPr/>
        <w:t>The undersigned hereby represents, for the benefit of the Corporation and all holders of Rights and Common Shares, that the Rights evidenced by this Rights Certificate are not and, to the knowledge of the undersigned, have never been, Beneficially Owned by an Acquiring Person or by an Affiliate or Associate of an Acquiring Person, any other Person acting jointly or in concert with an Acquiring Person or any Affiliate or Associate of any such other Person (as such terms are defined in the Rights Agreement).</w:t>
      </w:r>
    </w:p>
    <w:tbl>
      <w:tblPr>
        <w:tblW w:w="3485" w:type="dxa"/>
        <w:jc w:val="left"/>
        <w:tblInd w:w="0" w:type="dxa"/>
        <w:tblLayout w:type="fixed"/>
        <w:tblCellMar>
          <w:top w:w="0" w:type="dxa"/>
          <w:left w:w="0" w:type="dxa"/>
          <w:bottom w:w="0" w:type="dxa"/>
          <w:right w:w="0" w:type="dxa"/>
        </w:tblCellMar>
      </w:tblPr>
      <w:tblGrid>
        <w:gridCol w:w="75"/>
        <w:gridCol w:w="3410"/>
      </w:tblGrid>
      <w:tr>
        <w:trPr/>
        <w:tc>
          <w:tcPr>
            <w:tcW w:w="75" w:type="dxa"/>
            <w:tcBorders/>
            <w:vAlign w:val="center"/>
          </w:tcPr>
          <w:p>
            <w:pPr>
              <w:pStyle w:val="TableContents"/>
              <w:bidi w:val="0"/>
              <w:spacing w:before="0" w:after="283"/>
              <w:jc w:val="left"/>
              <w:rPr/>
            </w:pPr>
            <w:r>
              <w:rPr/>
              <w:t> </w:t>
            </w:r>
          </w:p>
        </w:tc>
        <w:tc>
          <w:tcPr>
            <w:tcW w:w="3410" w:type="dxa"/>
            <w:tcBorders>
              <w:bottom w:val="single" w:sz="6"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Signature</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0" w:type="dxa"/>
            <w:tcBorders>
              <w:top w:val="single" w:sz="6" w:space="0" w:color="000000"/>
            </w:tcBorders>
            <w:tcMar>
              <w:top w:w="28" w:type="dxa"/>
            </w:tcMar>
            <w:vAlign w:val="center"/>
          </w:tcPr>
          <w:p>
            <w:pPr>
              <w:pStyle w:val="TableContents"/>
              <w:bidi w:val="0"/>
              <w:spacing w:before="0" w:after="283"/>
              <w:jc w:val="both"/>
              <w:rPr/>
            </w:pPr>
            <w:r>
              <w:rPr/>
              <w:t>(Please print name below signature)</w:t>
            </w:r>
          </w:p>
        </w:tc>
      </w:tr>
    </w:tbl>
    <w:p>
      <w:pPr>
        <w:pStyle w:val="TextBody"/>
        <w:bidi w:val="0"/>
        <w:spacing w:before="200" w:after="200"/>
        <w:jc w:val="center"/>
        <w:rPr>
          <w:b/>
        </w:rPr>
      </w:pPr>
      <w:r>
        <w:rPr>
          <w:b/>
        </w:rPr>
        <w:t>NOTICE</w:t>
      </w:r>
    </w:p>
    <w:p>
      <w:pPr>
        <w:pStyle w:val="TextBody"/>
        <w:bidi w:val="0"/>
        <w:spacing w:before="200" w:after="200"/>
        <w:jc w:val="both"/>
        <w:rPr>
          <w:b/>
        </w:rPr>
      </w:pPr>
      <w:r>
        <w:rPr>
          <w:b/>
        </w:rPr>
        <w:t>In the event that the certifications set forth above in the Form of Election to Exercise and Assignment are not completed, the Corporation shall deem the Beneficial Owner of the Rights represented by this Rights Certificate to be an Acquiring Person (as defined in the Rights Agreement) or an Affiliate or Associate thereof and, accordingly, such Rights shall be null and void.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S-4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72" w:name="page_57"/>
      <w:bookmarkEnd w:id="72"/>
      <w:r>
        <w:rPr>
          <w:b/>
        </w:rPr>
        <w:t>FORM OF ASSIGNMENT</w:t>
      </w:r>
    </w:p>
    <w:p>
      <w:pPr>
        <w:pStyle w:val="TextBody"/>
        <w:bidi w:val="0"/>
        <w:spacing w:before="200" w:after="200"/>
        <w:jc w:val="both"/>
        <w:rPr/>
      </w:pPr>
      <w:r>
        <w:rPr/>
        <w:t>FOR VALUE RECEIVED, the undersigned hereby sells, assigns and transfers unto</w:t>
      </w:r>
    </w:p>
    <w:tbl>
      <w:tblPr>
        <w:tblW w:w="4265" w:type="dxa"/>
        <w:jc w:val="left"/>
        <w:tblInd w:w="0" w:type="dxa"/>
        <w:tblLayout w:type="fixed"/>
        <w:tblCellMar>
          <w:top w:w="0" w:type="dxa"/>
          <w:left w:w="0" w:type="dxa"/>
          <w:bottom w:w="28" w:type="dxa"/>
          <w:right w:w="0" w:type="dxa"/>
        </w:tblCellMar>
      </w:tblPr>
      <w:tblGrid>
        <w:gridCol w:w="4265"/>
      </w:tblGrid>
      <w:tr>
        <w:trPr/>
        <w:tc>
          <w:tcPr>
            <w:tcW w:w="4265" w:type="dxa"/>
            <w:tcBorders>
              <w:bottom w:val="single" w:sz="6" w:space="0" w:color="000000"/>
            </w:tcBorders>
            <w:vAlign w:val="center"/>
          </w:tcPr>
          <w:p>
            <w:pPr>
              <w:pStyle w:val="TableContents"/>
              <w:bidi w:val="0"/>
              <w:spacing w:before="0" w:after="0"/>
              <w:jc w:val="both"/>
              <w:rPr/>
            </w:pPr>
            <w:r>
              <w:rPr/>
              <w:t> </w:t>
            </w:r>
          </w:p>
        </w:tc>
      </w:tr>
      <w:tr>
        <w:trPr/>
        <w:tc>
          <w:tcPr>
            <w:tcW w:w="4265" w:type="dxa"/>
            <w:tcBorders>
              <w:top w:val="single" w:sz="6" w:space="0" w:color="000000"/>
            </w:tcBorders>
            <w:tcMar>
              <w:top w:w="28" w:type="dxa"/>
              <w:bottom w:w="0" w:type="dxa"/>
            </w:tcMar>
            <w:vAlign w:val="center"/>
          </w:tcPr>
          <w:p>
            <w:pPr>
              <w:pStyle w:val="TableContents"/>
              <w:bidi w:val="0"/>
              <w:spacing w:before="0" w:after="0"/>
              <w:jc w:val="both"/>
              <w:rPr/>
            </w:pPr>
            <w:r>
              <w:rPr/>
              <w:t>(Please print name and address of transferee)</w:t>
            </w:r>
          </w:p>
        </w:tc>
      </w:tr>
    </w:tbl>
    <w:p>
      <w:pPr>
        <w:pStyle w:val="TextBody"/>
        <w:bidi w:val="0"/>
        <w:spacing w:before="200" w:after="200"/>
        <w:jc w:val="both"/>
        <w:rPr/>
      </w:pPr>
      <w:r>
        <w:rPr/>
        <w:t>the Rights represented by this Rights Certificate, together with all right, title and interest therein.</w:t>
      </w:r>
    </w:p>
    <w:tbl>
      <w:tblPr>
        <w:tblW w:w="10205" w:type="dxa"/>
        <w:jc w:val="left"/>
        <w:tblInd w:w="0" w:type="dxa"/>
        <w:tblLayout w:type="fixed"/>
        <w:tblCellMar>
          <w:top w:w="0" w:type="dxa"/>
          <w:left w:w="0" w:type="dxa"/>
          <w:bottom w:w="0" w:type="dxa"/>
          <w:right w:w="0" w:type="dxa"/>
        </w:tblCellMar>
      </w:tblPr>
      <w:tblGrid>
        <w:gridCol w:w="1743"/>
        <w:gridCol w:w="216"/>
        <w:gridCol w:w="60"/>
        <w:gridCol w:w="8186"/>
      </w:tblGrid>
      <w:tr>
        <w:trPr/>
        <w:tc>
          <w:tcPr>
            <w:tcW w:w="1743" w:type="dxa"/>
            <w:tcBorders/>
            <w:vAlign w:val="center"/>
          </w:tcPr>
          <w:p>
            <w:pPr>
              <w:pStyle w:val="TableContents"/>
              <w:bidi w:val="0"/>
              <w:spacing w:before="0" w:after="283"/>
              <w:jc w:val="both"/>
              <w:rPr/>
            </w:pPr>
            <w:r>
              <w:rPr/>
              <w:t>Date:</w:t>
            </w:r>
          </w:p>
        </w:tc>
        <w:tc>
          <w:tcPr>
            <w:tcW w:w="216" w:type="dxa"/>
            <w:tcBorders>
              <w:bottom w:val="single" w:sz="6"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tcBorders>
              <w:bottom w:val="single" w:sz="6" w:space="0" w:color="000000"/>
            </w:tcBorders>
            <w:tcMar>
              <w:bottom w:w="28" w:type="dxa"/>
            </w:tcMar>
            <w:vAlign w:val="center"/>
          </w:tcPr>
          <w:p>
            <w:pPr>
              <w:pStyle w:val="TableContents"/>
              <w:bidi w:val="0"/>
              <w:spacing w:before="0" w:after="283"/>
              <w:jc w:val="both"/>
              <w:rPr/>
            </w:pPr>
            <w:r>
              <w:rPr/>
              <w:t> </w:t>
            </w:r>
          </w:p>
        </w:tc>
      </w:tr>
      <w:tr>
        <w:trPr/>
        <w:tc>
          <w:tcPr>
            <w:tcW w:w="1743"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tcBorders/>
            <w:vAlign w:val="center"/>
          </w:tcPr>
          <w:p>
            <w:pPr>
              <w:pStyle w:val="TableContents"/>
              <w:bidi w:val="0"/>
              <w:spacing w:before="0" w:after="283"/>
              <w:jc w:val="both"/>
              <w:rPr/>
            </w:pPr>
            <w:r>
              <w:rPr/>
              <w:t>Signature</w:t>
            </w:r>
          </w:p>
        </w:tc>
      </w:tr>
      <w:tr>
        <w:trPr/>
        <w:tc>
          <w:tcPr>
            <w:tcW w:w="1743"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tcBorders/>
            <w:vAlign w:val="center"/>
          </w:tcPr>
          <w:p>
            <w:pPr>
              <w:pStyle w:val="TableContents"/>
              <w:bidi w:val="0"/>
              <w:spacing w:before="0" w:after="283"/>
              <w:jc w:val="both"/>
              <w:rPr/>
            </w:pPr>
            <w:r>
              <w:rPr/>
              <w:t> </w:t>
            </w:r>
          </w:p>
        </w:tc>
      </w:tr>
      <w:tr>
        <w:trPr/>
        <w:tc>
          <w:tcPr>
            <w:tcW w:w="1743" w:type="dxa"/>
            <w:tcBorders>
              <w:bottom w:val="single" w:sz="6" w:space="0" w:color="000000"/>
            </w:tcBorders>
            <w:tcMar>
              <w:bottom w:w="28" w:type="dxa"/>
            </w:tcMar>
            <w:vAlign w:val="center"/>
          </w:tcPr>
          <w:p>
            <w:pPr>
              <w:pStyle w:val="TableContents"/>
              <w:bidi w:val="0"/>
              <w:spacing w:before="0" w:after="283"/>
              <w:jc w:val="both"/>
              <w:rPr/>
            </w:pPr>
            <w:r>
              <w:rPr/>
              <w:t> </w:t>
            </w:r>
          </w:p>
        </w:tc>
        <w:tc>
          <w:tcPr>
            <w:tcW w:w="216" w:type="dxa"/>
            <w:tcBorders>
              <w:bottom w:val="single" w:sz="6"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186" w:type="dxa"/>
            <w:vMerge w:val="restart"/>
            <w:tcBorders/>
            <w:vAlign w:val="center"/>
          </w:tcPr>
          <w:p>
            <w:pPr>
              <w:pStyle w:val="TableContents"/>
              <w:bidi w:val="0"/>
              <w:spacing w:before="0" w:after="283"/>
              <w:jc w:val="both"/>
              <w:rPr/>
            </w:pPr>
            <w:r>
              <w:rPr/>
              <w:t>(Signature must correspond to name as written upon the face of this Rights Certificate in every particular, without alteration or enlargement or any change whatsoever)</w:t>
            </w:r>
          </w:p>
        </w:tc>
      </w:tr>
      <w:tr>
        <w:trPr/>
        <w:tc>
          <w:tcPr>
            <w:tcW w:w="1959" w:type="dxa"/>
            <w:gridSpan w:val="2"/>
            <w:tcBorders/>
            <w:vAlign w:val="center"/>
          </w:tcPr>
          <w:p>
            <w:pPr>
              <w:pStyle w:val="TableContents"/>
              <w:bidi w:val="0"/>
              <w:spacing w:before="0" w:after="283"/>
              <w:jc w:val="both"/>
              <w:rPr/>
            </w:pPr>
            <w:r>
              <w:rPr/>
              <w:t>Written Signature Guaranteed</w:t>
            </w:r>
          </w:p>
        </w:tc>
        <w:tc>
          <w:tcPr>
            <w:tcW w:w="60" w:type="dxa"/>
            <w:tcBorders/>
            <w:vAlign w:val="center"/>
          </w:tcPr>
          <w:p>
            <w:pPr>
              <w:pStyle w:val="TableContents"/>
              <w:bidi w:val="0"/>
              <w:spacing w:before="0" w:after="283"/>
              <w:jc w:val="both"/>
              <w:rPr/>
            </w:pPr>
            <w:r>
              <w:rPr/>
              <w:t> </w:t>
            </w:r>
          </w:p>
        </w:tc>
        <w:tc>
          <w:tcPr>
            <w:tcW w:w="8186" w:type="dxa"/>
            <w:vMerge w:val="continue"/>
            <w:tcBorders/>
            <w:vAlign w:val="center"/>
          </w:tcPr>
          <w:p>
            <w:pPr>
              <w:pStyle w:val="Normal"/>
              <w:bidi w:val="0"/>
              <w:jc w:val="left"/>
              <w:rPr/>
            </w:pPr>
            <w:r>
              <w:rPr/>
            </w:r>
          </w:p>
        </w:tc>
      </w:tr>
    </w:tbl>
    <w:p>
      <w:pPr>
        <w:pStyle w:val="TextBody"/>
        <w:bidi w:val="0"/>
        <w:spacing w:before="200" w:after="200"/>
        <w:jc w:val="both"/>
        <w:rPr/>
      </w:pPr>
      <w:r>
        <w:rPr/>
        <w:t>Signature must be Medallion guaranteed (or such other form acceptable to the Rights Agent) by a Canadian Schedule I chartered bank, a member of the Securities Transfer Agent Medallion Program (STAMP), a member of the Stock Exchanges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 the United States or banks and trust companies in the United States.</w:t>
      </w:r>
    </w:p>
    <w:p>
      <w:pPr>
        <w:pStyle w:val="TextBody"/>
        <w:bidi w:val="0"/>
        <w:spacing w:before="200" w:after="200"/>
        <w:jc w:val="center"/>
        <w:rPr/>
      </w:pPr>
      <w:r>
        <w:rPr/>
        <w:t>(To be completed by the assignor if true)</w:t>
      </w:r>
    </w:p>
    <w:p>
      <w:pPr>
        <w:pStyle w:val="TextBody"/>
        <w:bidi w:val="0"/>
        <w:spacing w:before="200" w:after="200"/>
        <w:jc w:val="both"/>
        <w:rPr/>
      </w:pPr>
      <w:r>
        <w:rPr/>
        <w:t>The undersigned hereby represents, for the benefit of the Corporation and all holders of Rights and Common Shares, that the Rights evidenced by this Rights Certificate are not and, to the knowledge of the undersigned have never been, Beneficially Owned by an Acquiring Person or by an Affiliate or Associate of an Acquiring Person, any other Person acting jointly or in concert with an Acquiring Person or any Affiliate or Associate of any such other Person (as such terms are defined in the Rights Agreement).</w:t>
      </w:r>
    </w:p>
    <w:tbl>
      <w:tblPr>
        <w:tblW w:w="3485" w:type="dxa"/>
        <w:jc w:val="left"/>
        <w:tblInd w:w="0" w:type="dxa"/>
        <w:tblLayout w:type="fixed"/>
        <w:tblCellMar>
          <w:top w:w="0" w:type="dxa"/>
          <w:left w:w="0" w:type="dxa"/>
          <w:bottom w:w="0" w:type="dxa"/>
          <w:right w:w="0" w:type="dxa"/>
        </w:tblCellMar>
      </w:tblPr>
      <w:tblGrid>
        <w:gridCol w:w="75"/>
        <w:gridCol w:w="3410"/>
      </w:tblGrid>
      <w:tr>
        <w:trPr/>
        <w:tc>
          <w:tcPr>
            <w:tcW w:w="75" w:type="dxa"/>
            <w:tcBorders/>
            <w:vAlign w:val="center"/>
          </w:tcPr>
          <w:p>
            <w:pPr>
              <w:pStyle w:val="TableContents"/>
              <w:bidi w:val="0"/>
              <w:spacing w:before="0" w:after="283"/>
              <w:jc w:val="left"/>
              <w:rPr/>
            </w:pPr>
            <w:r>
              <w:rPr/>
              <w:t> </w:t>
            </w:r>
          </w:p>
        </w:tc>
        <w:tc>
          <w:tcPr>
            <w:tcW w:w="3410" w:type="dxa"/>
            <w:tcBorders>
              <w:bottom w:val="single" w:sz="6"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Signature</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4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(Please print name below signature)</w:t>
            </w:r>
          </w:p>
        </w:tc>
      </w:tr>
    </w:tbl>
    <w:p>
      <w:pPr>
        <w:pStyle w:val="TextBody"/>
        <w:bidi w:val="0"/>
        <w:spacing w:before="200" w:after="200"/>
        <w:jc w:val="center"/>
        <w:rPr>
          <w:b/>
        </w:rPr>
      </w:pPr>
      <w:r>
        <w:rPr>
          <w:b/>
        </w:rPr>
        <w:t>NOTICE</w:t>
      </w:r>
    </w:p>
    <w:p>
      <w:pPr>
        <w:pStyle w:val="TextBody"/>
        <w:bidi w:val="0"/>
        <w:spacing w:before="200" w:after="200"/>
        <w:jc w:val="both"/>
        <w:rPr>
          <w:b/>
        </w:rPr>
      </w:pPr>
      <w:r>
        <w:rPr>
          <w:b/>
        </w:rPr>
        <w:t>In the event that the certifications set forth above in the Form of Election to Exercise and Assignment are not completed, the Corporation shall deem the Beneficial Owner of the Rights represented by this Rights Certificate to be an Acquiring Person (as defined in the Rights Agreement) or an Affiliate or Associate thereof and, accordingly, such Rights shall be null and void.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S-5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3" w:name="exhibit99-1.htm"/>
      <w:bookmarkStart w:id="74" w:name="ksexhibit991"/>
      <w:bookmarkStart w:id="75" w:name="exhibit99-1.htm"/>
      <w:bookmarkStart w:id="76" w:name="ksexhibit991"/>
      <w:bookmarkEnd w:id="75"/>
      <w:bookmarkEnd w:id="76"/>
      <w:r>
        <w:br w:type="page"/>
      </w:r>
    </w:p>
    <w:p>
      <w:pPr>
        <w:pStyle w:val="TextBody"/>
        <w:bidi w:val="0"/>
        <w:spacing w:before="200" w:after="0"/>
        <w:jc w:val="center"/>
        <w:rPr>
          <w:b/>
        </w:rPr>
      </w:pPr>
      <w:bookmarkStart w:id="77" w:name="page_110"/>
      <w:bookmarkEnd w:id="77"/>
      <w:r>
        <w:rPr>
          <w:b/>
        </w:rPr>
        <w:t>SPHERE 3D CORP.</w:t>
      </w:r>
    </w:p>
    <w:p>
      <w:pPr>
        <w:pStyle w:val="TextBody"/>
        <w:bidi w:val="0"/>
        <w:spacing w:before="0" w:after="200"/>
        <w:jc w:val="center"/>
        <w:rPr>
          <w:b/>
        </w:rPr>
      </w:pPr>
      <w:r>
        <w:rPr>
          <w:b/>
        </w:rPr>
        <w:t>ADOPTS LIMITED-DURATION SHAREHOLDER RIGHTS AGREEMENT</w:t>
      </w:r>
    </w:p>
    <w:p>
      <w:pPr>
        <w:pStyle w:val="TextBody"/>
        <w:bidi w:val="0"/>
        <w:spacing w:before="200" w:after="200"/>
        <w:jc w:val="both"/>
        <w:rPr/>
      </w:pPr>
      <w:r>
        <w:rPr/>
        <w:t>Stamford, Connecticut, August 10, 2026 - Sphere 3D Corp. ("Sphere" or the "Company") (Nasdaq: ANY) announces today that its board of directors (the "Board") has approved the adoption of a limited-duration shareholder rights plan (the "SRP") pursuant to a shareholder rights plan agreement entered into with TSX Trust Company, as rights agent, dated August 10, 2026.</w:t>
      </w:r>
    </w:p>
    <w:p>
      <w:pPr>
        <w:pStyle w:val="TextBody"/>
        <w:bidi w:val="0"/>
        <w:spacing w:before="200" w:after="200"/>
        <w:jc w:val="both"/>
        <w:rPr/>
      </w:pPr>
      <w:r>
        <w:rPr/>
        <w:t>The Board, in consultation with its independent advisors, adopted the SRP in response to the substantial accumulation of the Company's common shares. The SRP has been adopted to help ensure that all shareholders of the Company are treated fairly and equally in connection with any unsolicited take-over bid or other acquisition of control of the Company (including by way of a "creeping" take-over bid) and that the Board has the opportunity to identify, solicit, develop and negotiate value-enhancing alternatives to any unsolicited take-over bid or similar transaction. The SRP is not intended to deter any proposal, or to prevent the Board from considering any offer, that the Board determines to be in the best interests of the Company and its shareholders.</w:t>
      </w:r>
    </w:p>
    <w:p>
      <w:pPr>
        <w:pStyle w:val="TextBody"/>
        <w:bidi w:val="0"/>
        <w:spacing w:before="200" w:after="200"/>
        <w:jc w:val="both"/>
        <w:rPr/>
      </w:pPr>
      <w:r>
        <w:rPr/>
        <w:t>Sphere recently completed its business combination with Cathedra Bitcoin and is advancing a refreshed strategic vision to operate and expand scalable power and data center capacity for high-performance computing and artificial intelligence workloads. Given the pending change of the Company's name to DarkHorse Technologies, together with a new board of directors and new management, the Company believes it is entering an exciting growth opportunity. The Board and management are focused on executing this strategy in a disciplined manner and positioning the Company to create sustainable, long-term value for its shareholders. The Board adopted the SRP to help ensure that the appropriate protections are in place to allow this vision to be executed for the benefit of all shareholders.</w:t>
      </w:r>
    </w:p>
    <w:p>
      <w:pPr>
        <w:pStyle w:val="TextBody"/>
        <w:bidi w:val="0"/>
        <w:spacing w:before="200" w:after="200"/>
        <w:jc w:val="both"/>
        <w:rPr/>
      </w:pPr>
      <w:r>
        <w:rPr/>
        <w:t>Pursuant to the SRP, one right will attach to each common share of the Company outstanding as of the effective time under the SRP. The rights will initially trade with Company common shares and will generally become exercisable only if any acquiring person (or persons acting as a group) acquires 20% or more of the outstanding common shares of the Company. Subject to the terms of the SRP, in the event that rights become exercisable under the SRP, holders of the rights (other than the acquiring person and its related parties) will be permitted to exercise their rights to purchase additional common shares of the Company at a substantial discount to the then market price of the Company's common shares. Taking up common shares pursuant to a "Permitted Bid" would not trigger the SRP.</w:t>
      </w:r>
    </w:p>
    <w:p>
      <w:pPr>
        <w:pStyle w:val="TextBody"/>
        <w:bidi w:val="0"/>
        <w:spacing w:before="200" w:after="200"/>
        <w:jc w:val="both"/>
        <w:rPr/>
      </w:pPr>
      <w:r>
        <w:rPr/>
        <w:t>The SRP is effective immediately and will expire at the close of business on August 10, 2027, unless earlier terminated, exchanged or redeemed in accordance with its terms. The record time for the issuance of the Rights will be the close of business on August 20, 2026, which is ten days after the effective date of the SRP.</w:t>
      </w:r>
    </w:p>
    <w:p>
      <w:pPr>
        <w:pStyle w:val="TextBody"/>
        <w:bidi w:val="0"/>
        <w:spacing w:before="200" w:after="200"/>
        <w:jc w:val="both"/>
        <w:rPr/>
      </w:pPr>
      <w:r>
        <w:rPr/>
        <w:t xml:space="preserve">Additional information regarding the SRP will be contained in a Form 8-K filing with the U.S. Securities and Exchange Commission (the "SEC"). This filing will be available on the SEC's website at </w:t>
      </w:r>
      <w:r>
        <w:rPr>
          <w:color w:val="0000FF"/>
          <w:u w:val="single"/>
        </w:rPr>
        <w:t>www.sec.gov</w:t>
      </w:r>
      <w:r>
        <w:rPr/>
        <w:t>.</w:t>
      </w:r>
    </w:p>
    <w:p>
      <w:pPr>
        <w:pStyle w:val="TextBody"/>
        <w:bidi w:val="0"/>
        <w:spacing w:before="200" w:after="200"/>
        <w:jc w:val="both"/>
        <w:rPr/>
      </w:pPr>
      <w:r>
        <w:rPr/>
        <w:t>Cleary Gottlieb Steen &amp; Hamilton LLP is acting as legal advisor to Sphere with respect to the SRP.</w:t>
      </w:r>
    </w:p>
    <w:p>
      <w:pPr>
        <w:pStyle w:val="TextBody"/>
        <w:bidi w:val="0"/>
        <w:spacing w:before="200" w:after="200"/>
        <w:jc w:val="both"/>
        <w:rPr>
          <w:b/>
        </w:rPr>
      </w:pPr>
      <w:r>
        <w:rPr>
          <w:b/>
        </w:rPr>
        <w:t>About Sphere</w:t>
      </w:r>
    </w:p>
    <w:p>
      <w:pPr>
        <w:pStyle w:val="TextBody"/>
        <w:bidi w:val="0"/>
        <w:spacing w:before="200" w:after="200"/>
        <w:jc w:val="both"/>
        <w:rPr/>
      </w:pPr>
      <w:r>
        <w:rPr/>
        <w:t>Sphere 3D Corp. (Nasdaq: ANY) is a digital infrastructure company focused on operating and expanding scalable power and data center assets for high-performance computing, AI workloads, and digital asset infrastructure. Following its business combination with Cathedra Bitcoin, Sphere 3D operates a diversified platform with approximately 53 MW of operating power capacity across multiple U.S. data center locations and a development pipeline exceeding 100 MW of potential expansion opportunities. The Company combines infrastructure ownership, energy optimization expertise, and capital markets access to pursue long-term value creation across next-generation compute infrastructure. For more information, visit www.sphere3d.com.</w:t>
      </w:r>
    </w:p>
    <w:p>
      <w:pPr>
        <w:pStyle w:val="TextBody"/>
        <w:bidi w:val="0"/>
        <w:spacing w:before="200" w:after="200"/>
        <w:jc w:val="both"/>
        <w:rPr>
          <w:b/>
        </w:rPr>
      </w:pPr>
      <w:r>
        <w:rPr>
          <w:b/>
        </w:rPr>
        <w:t>Cautionary Language on Forward-Looking Statements</w:t>
      </w:r>
    </w:p>
    <w:p>
      <w:pPr>
        <w:pStyle w:val="TextBody"/>
        <w:bidi w:val="0"/>
        <w:spacing w:before="200" w:after="200"/>
        <w:jc w:val="both"/>
        <w:rPr/>
      </w:pPr>
      <w:r>
        <w:rPr/>
        <w:t xml:space="preserve">This press release contains "forward-looking statements" within the meaning of Section 27A of the Securities Act of 1933, as amended, Section 21E of the Securities Exchange Act of 1934, as amended, and the Private Securities Litigation Reform Act of 1995. Forward-looking statements generally relate to future events, including statements in this press release regarding the Company's future financial or operating performance, business strategy, outlook, market opportunities and expectations, the adoption, terms, anticipated benefits and expected consequences of the SRP, and the potential effects of the SRP on any acquisition or accumulation of the Company's Common Shares.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Expectations and beliefs regarding matters discussed herein may not materialize, and actual results in future periods are subject to risks and uncertainties that could cause actual results to differ materially from those projected, including, without limitation, the possibility that the SRP may not achieve its intended purpose, may discourage, delay or prevent a transaction that some or all of the Company's shareholders might consider to be in their best interests, or may otherwise affect the trading price of the Common Shares; the risk of litigation or other proceedings relating to the adoption, terms or operation of the SRP; and the Company's expectations regarding the execution of its strategic plan. The forward-looking statements contained in this communication are also subject to other risks and uncertainties, including those more fully described in filings with the SEC, including Sphere 3D's reports filed on Form 10-K, Form 10-Q and Form 8-K and in other filings made by Sphere 3D with the SEC from time to time and available at </w:t>
      </w:r>
      <w:r>
        <w:rPr>
          <w:color w:val="0000FF"/>
          <w:u w:val="single"/>
        </w:rPr>
        <w:t>www.sec.gov</w:t>
      </w:r>
      <w:r>
        <w:rPr/>
        <w:t>. These forward-looking statements are based on current expectations, which are subject to change. Sphere 3D undertakes no obligation to update or revise forward-looking statements to reflect events or circumstances after the date of this release, except as required by law.</w:t>
      </w:r>
    </w:p>
    <w:p>
      <w:pPr>
        <w:pStyle w:val="HorizontalLine"/>
        <w:pBdr>
          <w:bottom w:val="single" w:sz="30" w:space="0" w:color="000000"/>
        </w:pBdr>
        <w:bidi w:val="0"/>
        <w:jc w:val="left"/>
        <w:rPr/>
      </w:pPr>
      <w:r>
        <w:rPr/>
      </w:r>
    </w:p>
    <w:p>
      <w:pPr>
        <w:pStyle w:val="TextBody"/>
        <w:bidi w:val="0"/>
        <w:spacing w:before="200" w:after="200"/>
        <w:jc w:val="both"/>
        <w:rPr/>
      </w:pPr>
      <w:bookmarkStart w:id="78" w:name="page_210"/>
      <w:bookmarkEnd w:id="78"/>
      <w:r>
        <w:rPr>
          <w:b/>
        </w:rPr>
        <w:t xml:space="preserve">For further information, please contact: </w:t>
      </w:r>
      <w:r>
        <w:rPr/>
        <w:br/>
      </w:r>
      <w:r>
        <w:rPr>
          <w:b/>
          <w:color w:val="0000FF"/>
          <w:u w:val="single"/>
        </w:rPr>
        <w:t>investor.relations@sphere3d.com</w:t>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31574</Words>
  <Characters>163037</Characters>
  <CharactersWithSpaces>194037</CharactersWithSpaces>
  <Paragraphs>1032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