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filed with the Securities and Exchange Commission on October 10, 2024</w:t>
      </w:r>
    </w:p>
    <w:p>
      <w:pPr>
        <w:spacing w:after="0" w:line="2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Registration No. 333-269663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Sphere 3D Corp.</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98" w:lineRule="exact"/>
        <w:rPr>
          <w:sz w:val="24"/>
          <w:szCs w:val="24"/>
          <w:color w:val="auto"/>
        </w:rPr>
      </w:pPr>
    </w:p>
    <w:tbl>
      <w:tblPr>
        <w:tblLayout w:type="fixed"/>
        <w:tblInd w:w="0" w:type="dxa"/>
        <w:tblCellMar>
          <w:top w:w="0" w:type="dxa"/>
          <w:left w:w="0" w:type="dxa"/>
          <w:bottom w:w="0" w:type="dxa"/>
          <w:right w:w="0" w:type="dxa"/>
        </w:tblCellMar>
      </w:tblPr>
      <w:tr>
        <w:trPr>
          <w:trHeight w:val="249"/>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Ontario, Canada</w:t>
            </w:r>
          </w:p>
        </w:tc>
        <w:tc>
          <w:tcPr>
            <w:tcW w:w="55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98-1220792</w:t>
            </w:r>
          </w:p>
        </w:tc>
      </w:tr>
      <w:tr>
        <w:trPr>
          <w:trHeight w:val="181"/>
        </w:trPr>
        <w:tc>
          <w:tcPr>
            <w:tcW w:w="5520" w:type="dxa"/>
            <w:vAlign w:val="bottom"/>
            <w:tcBorders>
              <w:top w:val="single" w:sz="8" w:color="auto"/>
            </w:tcBorders>
          </w:tcPr>
          <w:p>
            <w:pPr>
              <w:jc w:val="center"/>
              <w:spacing w:after="0" w:line="181" w:lineRule="exact"/>
              <w:rPr>
                <w:sz w:val="20"/>
                <w:szCs w:val="20"/>
                <w:color w:val="auto"/>
              </w:rPr>
            </w:pPr>
            <w:r>
              <w:rPr>
                <w:rFonts w:ascii="Times New Roman" w:cs="Times New Roman" w:eastAsia="Times New Roman" w:hAnsi="Times New Roman"/>
                <w:sz w:val="17"/>
                <w:szCs w:val="17"/>
                <w:color w:val="auto"/>
              </w:rPr>
              <w:t>(State or other jurisdiction of</w:t>
            </w:r>
          </w:p>
        </w:tc>
        <w:tc>
          <w:tcPr>
            <w:tcW w:w="220" w:type="dxa"/>
            <w:vAlign w:val="bottom"/>
          </w:tcPr>
          <w:p>
            <w:pPr>
              <w:spacing w:after="0"/>
              <w:rPr>
                <w:sz w:val="15"/>
                <w:szCs w:val="15"/>
                <w:color w:val="auto"/>
              </w:rPr>
            </w:pPr>
          </w:p>
        </w:tc>
        <w:tc>
          <w:tcPr>
            <w:tcW w:w="5500" w:type="dxa"/>
            <w:vAlign w:val="bottom"/>
            <w:tcBorders>
              <w:top w:val="single" w:sz="8" w:color="auto"/>
            </w:tcBorders>
          </w:tcPr>
          <w:p>
            <w:pPr>
              <w:jc w:val="center"/>
              <w:spacing w:after="0" w:line="181" w:lineRule="exact"/>
              <w:rPr>
                <w:sz w:val="20"/>
                <w:szCs w:val="20"/>
                <w:color w:val="auto"/>
              </w:rPr>
            </w:pPr>
            <w:r>
              <w:rPr>
                <w:rFonts w:ascii="Times New Roman" w:cs="Times New Roman" w:eastAsia="Times New Roman" w:hAnsi="Times New Roman"/>
                <w:sz w:val="17"/>
                <w:szCs w:val="17"/>
                <w:color w:val="auto"/>
              </w:rPr>
              <w:t>(I.R.S. Employer</w:t>
            </w:r>
          </w:p>
        </w:tc>
      </w:tr>
      <w:tr>
        <w:trPr>
          <w:trHeight w:val="222"/>
        </w:trPr>
        <w:tc>
          <w:tcPr>
            <w:tcW w:w="57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color w:val="auto"/>
              </w:rPr>
              <w:t>incorporation or organization)</w:t>
            </w:r>
          </w:p>
        </w:tc>
        <w:tc>
          <w:tcPr>
            <w:tcW w:w="5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Identification Number)</w:t>
            </w:r>
          </w:p>
        </w:tc>
      </w:tr>
    </w:tbl>
    <w:p>
      <w:pPr>
        <w:spacing w:after="0" w:line="1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243 Tresser Blvd., 17</w:t>
      </w:r>
      <w:r>
        <w:rPr>
          <w:rFonts w:ascii="Times New Roman" w:cs="Times New Roman" w:eastAsia="Times New Roman" w:hAnsi="Times New Roman"/>
          <w:sz w:val="29"/>
          <w:szCs w:val="29"/>
          <w:b w:val="1"/>
          <w:bCs w:val="1"/>
          <w:color w:val="auto"/>
          <w:vertAlign w:val="superscript"/>
        </w:rPr>
        <w:t>th</w:t>
      </w:r>
      <w:r>
        <w:rPr>
          <w:rFonts w:ascii="Times New Roman" w:cs="Times New Roman" w:eastAsia="Times New Roman" w:hAnsi="Times New Roman"/>
          <w:sz w:val="18"/>
          <w:szCs w:val="18"/>
          <w:b w:val="1"/>
          <w:bCs w:val="1"/>
          <w:color w:val="auto"/>
        </w:rPr>
        <w:t xml:space="preserve"> Floor</w:t>
      </w:r>
    </w:p>
    <w:p>
      <w:pPr>
        <w:jc w:val="center"/>
        <w:spacing w:after="0"/>
        <w:rPr>
          <w:sz w:val="20"/>
          <w:szCs w:val="20"/>
          <w:color w:val="auto"/>
        </w:rPr>
      </w:pPr>
      <w:r>
        <w:rPr>
          <w:rFonts w:ascii="Times New Roman" w:cs="Times New Roman" w:eastAsia="Times New Roman" w:hAnsi="Times New Roman"/>
          <w:sz w:val="18"/>
          <w:szCs w:val="18"/>
          <w:b w:val="1"/>
          <w:bCs w:val="1"/>
          <w:color w:val="auto"/>
        </w:rPr>
        <w:t>Stamford, CT 06901</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(647) 952-5049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registrant’s principal executive offices)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CCS Global Solutions,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500 Seventh Avenue, Office 12B101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NY 10018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(917) 566-7046</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address, including zip code, and telephone number, including area code, of agent for service)</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Copies to:</w:t>
      </w: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 Ali Panjwani, Esq.</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Pryor Cashman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 Times Square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10036</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 421-4100</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Approximate date of commencement of proposed sale to the public: </w:t>
      </w:r>
      <w:r>
        <w:rPr>
          <w:rFonts w:ascii="Times New Roman" w:cs="Times New Roman" w:eastAsia="Times New Roman" w:hAnsi="Times New Roman"/>
          <w:sz w:val="18"/>
          <w:szCs w:val="18"/>
          <w:b w:val="1"/>
          <w:bCs w:val="1"/>
          <w:color w:val="auto"/>
        </w:rPr>
        <w:t>From time to time after the effective date of this registration statement.</w:t>
      </w:r>
    </w:p>
    <w:p>
      <w:pPr>
        <w:spacing w:after="0" w:line="18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If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266" w:lineRule="exact"/>
        <w:rPr>
          <w:sz w:val="24"/>
          <w:szCs w:val="24"/>
          <w:color w:val="auto"/>
        </w:rPr>
      </w:pPr>
    </w:p>
    <w:p>
      <w:pPr>
        <w:ind w:right="320"/>
        <w:spacing w:after="0" w:line="239"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right="4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ind w:right="54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ind w:right="28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right="44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72" w:orient="portrait"/>
          <w:cols w:equalWidth="0" w:num="1">
            <w:col w:w="11240"/>
          </w:cols>
          <w:pgMar w:left="320" w:top="222" w:right="339" w:bottom="0" w:gutter="0" w:footer="0" w:header="0"/>
        </w:sectPr>
      </w:pPr>
    </w:p>
    <w:p>
      <w:pPr>
        <w:spacing w:after="0" w:line="13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8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72" w:orient="portrait"/>
          <w:cols w:equalWidth="0" w:num="2">
            <w:col w:w="6040" w:space="720"/>
            <w:col w:w="4480"/>
          </w:cols>
          <w:pgMar w:left="320" w:top="222" w:right="339" w:bottom="0" w:gutter="0" w:footer="0" w:header="0"/>
          <w:type w:val="continuous"/>
        </w:sectPr>
      </w:pPr>
    </w:p>
    <w:p>
      <w:pPr>
        <w:spacing w:after="0" w:line="17"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70" w:lineRule="exact"/>
        <w:rPr>
          <w:sz w:val="24"/>
          <w:szCs w:val="24"/>
          <w:color w:val="auto"/>
        </w:rPr>
      </w:pPr>
    </w:p>
    <w:p>
      <w:pPr>
        <w:ind w:left="340" w:right="26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“new or revised financial accounting standard” refers to any update issued by the Financial Accounting Standards Board to its Accounting Standards Codification after April 5, 2012.</w:t>
      </w:r>
    </w:p>
    <w:p>
      <w:pPr>
        <w:spacing w:after="0" w:line="158" w:lineRule="exact"/>
        <w:rPr>
          <w:sz w:val="24"/>
          <w:szCs w:val="24"/>
          <w:color w:val="auto"/>
        </w:rPr>
      </w:pPr>
    </w:p>
    <w:p>
      <w:pPr>
        <w:ind w:right="180"/>
        <w:spacing w:after="0" w:line="317" w:lineRule="auto"/>
        <w:rPr>
          <w:sz w:val="20"/>
          <w:szCs w:val="20"/>
          <w:color w:val="auto"/>
        </w:rPr>
      </w:pPr>
      <w:r>
        <w:rPr>
          <w:rFonts w:ascii="Times New Roman" w:cs="Times New Roman" w:eastAsia="Times New Roman" w:hAnsi="Times New Roman"/>
          <w:sz w:val="17"/>
          <w:szCs w:val="17"/>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w:t>
      </w:r>
    </w:p>
    <w:p>
      <w:pPr>
        <w:sectPr>
          <w:pgSz w:w="11900" w:h="16872" w:orient="portrait"/>
          <w:cols w:equalWidth="0" w:num="1">
            <w:col w:w="11240"/>
          </w:cols>
          <w:pgMar w:left="320" w:top="222" w:right="339" w:bottom="0" w:gutter="0" w:footer="0" w:header="0"/>
          <w:type w:val="continuous"/>
        </w:sectPr>
      </w:pPr>
    </w:p>
    <w:bookmarkStart w:id="1" w:name="page2"/>
    <w:bookmarkEnd w:id="1"/>
    <w:p>
      <w:pPr>
        <w:spacing w:after="0" w:line="286" w:lineRule="auto"/>
        <w:rPr>
          <w:sz w:val="20"/>
          <w:szCs w:val="20"/>
          <w:color w:val="auto"/>
        </w:rPr>
      </w:pPr>
      <w:r>
        <w:rPr>
          <w:rFonts w:ascii="Times New Roman" w:cs="Times New Roman" w:eastAsia="Times New Roman" w:hAnsi="Times New Roman"/>
          <w:sz w:val="18"/>
          <w:szCs w:val="18"/>
          <w:b w:val="1"/>
          <w:bCs w:val="1"/>
          <w:color w:val="auto"/>
        </w:rPr>
        <w:t>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138430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00"/>
          </w:cols>
          <w:pgMar w:left="320" w:top="117" w:right="1079" w:bottom="1440" w:gutter="0" w:footer="0" w:header="0"/>
        </w:sectPr>
      </w:pPr>
    </w:p>
    <w:bookmarkStart w:id="2" w:name="page3"/>
    <w:bookmarkEnd w:id="2"/>
    <w:p>
      <w:pPr>
        <w:ind w:left="4660"/>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amendment is being filed solely to file an updated exhibit to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OTHER EXPENSES OF ISSUANCE AND DISTRIBUTION</w:t>
      </w:r>
    </w:p>
    <w:p>
      <w:pPr>
        <w:spacing w:after="0" w:line="229"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aggregate expenses to be paid by us in connection with this offering. All amounts shown are estimates, except for the SEC registration fee.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11,020</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25,000</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FINRA filing fees</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15,500</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15,000</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Printing Expenses</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w:t>
            </w:r>
          </w:p>
        </w:tc>
      </w:tr>
      <w:tr>
        <w:trPr>
          <w:trHeight w:val="237"/>
        </w:trPr>
        <w:tc>
          <w:tcPr>
            <w:tcW w:w="10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Borders>
              <w:bottom w:val="single" w:sz="8" w:color="CCEEFF"/>
            </w:tcBorders>
          </w:tcPr>
          <w:p>
            <w:pPr>
              <w:spacing w:after="0"/>
              <w:rPr>
                <w:sz w:val="20"/>
                <w:szCs w:val="20"/>
                <w:color w:val="auto"/>
              </w:rPr>
            </w:pPr>
          </w:p>
        </w:tc>
      </w:tr>
      <w:tr>
        <w:trPr>
          <w:trHeight w:val="250"/>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76,520</w:t>
            </w:r>
          </w:p>
        </w:tc>
      </w:tr>
      <w:tr>
        <w:trPr>
          <w:trHeight w:val="21"/>
        </w:trPr>
        <w:tc>
          <w:tcPr>
            <w:tcW w:w="10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INDEMNIFICATION OF DIRECTORS AND OFFICERS</w:t>
      </w:r>
    </w:p>
    <w:p>
      <w:pPr>
        <w:spacing w:after="0" w:line="227"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 xml:space="preserve">Under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(Ontario), Sphere 3D Corp. (the “Registrant”) may indemnify a director or officer of the Registrant, a former director or officer of the Registrant or another individual who acts or acted at the Registrant’s request as a director or officer, or an individual acting in a similar capacity, of another entity (each of the foregoing, an “Individual”) against all costs, charges and expenses, including an amount paid to settle an action or satisfy a judgment, reasonably incurred by the Individual in respect of any civil, criminal, administrative, investigative or other proceeding in which the Individual is involved because of that association with the Registrant or other entity, on the condition that:</w:t>
      </w:r>
    </w:p>
    <w:p>
      <w:pPr>
        <w:spacing w:after="0" w:line="185" w:lineRule="exact"/>
        <w:rPr>
          <w:sz w:val="20"/>
          <w:szCs w:val="20"/>
          <w:color w:val="auto"/>
        </w:rPr>
      </w:pPr>
    </w:p>
    <w:p>
      <w:pPr>
        <w:ind w:left="980" w:right="60" w:hanging="324"/>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Individual acted honestly and in good faith with a view to the best interests of the Registrant or, as the case may be, to the best interests of the other entity for which the Individual acted as a director or officer or in a similar capacity at the Registrant’s request; and</w:t>
      </w:r>
    </w:p>
    <w:p>
      <w:pPr>
        <w:spacing w:after="0" w:line="161" w:lineRule="exact"/>
        <w:rPr>
          <w:rFonts w:ascii="Times New Roman" w:cs="Times New Roman" w:eastAsia="Times New Roman" w:hAnsi="Times New Roman"/>
          <w:sz w:val="18"/>
          <w:szCs w:val="18"/>
          <w:color w:val="auto"/>
        </w:rPr>
      </w:pPr>
    </w:p>
    <w:p>
      <w:pPr>
        <w:ind w:left="980" w:right="60" w:hanging="324"/>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matter is a criminal or administrative action or proceeding that is enforced by a monetary penalty, the Registrant shall not indemnify the Individual unless the Individual had reasonable grounds for believing that his or her conduct was lawful.</w:t>
      </w:r>
    </w:p>
    <w:p>
      <w:pPr>
        <w:spacing w:after="0" w:line="162"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Registrant may advance money to a director, officer or other Individual in relation to the foregoing matters, but the Individual shall repay the money of the Individual does not fulfill the conditions set out in (i) and (ii) above.</w:t>
      </w:r>
    </w:p>
    <w:p>
      <w:pPr>
        <w:spacing w:after="0" w:line="162"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Further, the Registrant may, with the approval of a court, indemnify an Individual in respect of an action by or on behalf of the Registrant or other entity, or advance moneys as set out above, to obtain a judgment in its favor, to which the Individual is made a party because of the Individual’s association with the Registrant or other entity as a director or officer, a former director or officer, an Individual who acts or acted at the Registrant’s request as a director or officer, or an Individual acting in a similar capacity, against all costs, charges and expenses reasonably incurred by the Individual in connection with such action, if the Individual fulfils the conditions in (i) and (ii) above. Such Individuals are entitled to indemnification from the Registrant in respect of all costs, charges and expenses reasonably incurred by the Individual in connection with the defense of any civil, criminal administrative, investigative or other proceeding to which the Individual is subject because of the Individual’s association with the Registrant or other entity as described above, provided the Individual is seeking an indemnity: (A) was not judged by a court or other competent authority to have committed any fault or omitted to do anything that the Individual ought to have done; and (B) fulfils the conditions in (i) and (ii) above.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The by-laws of the Registrant provide that, subject to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(Ontario), the Registrant shall indemnify an officer or director of the Registrant, former officer or director of the Registrant and every individual who acts or acted at the Registrant’s request as a director or officer or an individual in a similar capacity of another entity, from and against all costs, charges and expense, including an amount paid to settle an action or satisfy a judgment, reasonably incurred by that individual in respect or any civil, criminal, administrative, investigative or other proceeding to which that individual is involved because of their association with the Registrant or other entity if such individual (i) acted honestly and in good faith with a view to the best interests of the Registrant or, as the case may be, to the best interests of the other entity for which the individual acted as a director or officer or as an individual in a similar capacity at the Registrant’s request and (ii) in the case or a criminal or administrative action or proceeding that is enforced by monetary penalty, the individual had reasonable grounds for believing that the conduct was lawful.</w:t>
      </w:r>
    </w:p>
    <w:p>
      <w:pPr>
        <w:spacing w:after="0" w:line="187" w:lineRule="exact"/>
        <w:rPr>
          <w:sz w:val="20"/>
          <w:szCs w:val="20"/>
          <w:color w:val="auto"/>
        </w:rPr>
      </w:pPr>
    </w:p>
    <w:p>
      <w:pPr>
        <w:ind w:right="480" w:firstLine="648"/>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persons controlling the Registrant pursuant to the foregoing, the Registrant has been informed that in the opinion of the SEC such indemnification is against public policy as expressed in the Securities Act and is therefore unenforceable.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EXHIBITS</w:t>
      </w:r>
    </w:p>
    <w:p>
      <w:pPr>
        <w:spacing w:after="0" w:line="229"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The exhibits to this registration statement are listed on the Index to Exhibits to this registration statement, which Index to Exhibits is hereby incorporated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229" w:lineRule="exact"/>
        <w:rPr>
          <w:sz w:val="20"/>
          <w:szCs w:val="20"/>
          <w:color w:val="auto"/>
        </w:rPr>
      </w:pPr>
    </w:p>
    <w:p>
      <w:pPr>
        <w:ind w:left="300" w:hanging="288"/>
        <w:spacing w:after="0"/>
        <w:tabs>
          <w:tab w:leader="none" w:pos="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25"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 as amended, or the Securities Act;</w:t>
      </w:r>
    </w:p>
    <w:p>
      <w:pPr>
        <w:spacing w:after="0" w:line="225" w:lineRule="exact"/>
        <w:rPr>
          <w:rFonts w:ascii="Times New Roman" w:cs="Times New Roman" w:eastAsia="Times New Roman" w:hAnsi="Times New Roman"/>
          <w:sz w:val="18"/>
          <w:szCs w:val="18"/>
          <w:color w:val="auto"/>
        </w:rPr>
      </w:pPr>
    </w:p>
    <w:p>
      <w:pPr>
        <w:ind w:left="660" w:right="120" w:firstLine="644"/>
        <w:spacing w:after="0" w:line="255" w:lineRule="auto"/>
        <w:tabs>
          <w:tab w:leader="none" w:pos="1573"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any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88" w:lineRule="exact"/>
        <w:rPr>
          <w:rFonts w:ascii="Times New Roman" w:cs="Times New Roman" w:eastAsia="Times New Roman" w:hAnsi="Times New Roman"/>
          <w:sz w:val="18"/>
          <w:szCs w:val="18"/>
          <w:color w:val="auto"/>
        </w:rPr>
      </w:pPr>
    </w:p>
    <w:p>
      <w:pPr>
        <w:ind w:left="660" w:right="180" w:firstLine="644"/>
        <w:spacing w:after="0" w:line="282" w:lineRule="auto"/>
        <w:tabs>
          <w:tab w:leader="none" w:pos="1623"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paragraphs (a)(1)(i), (a)(1)(ii) and (a)(1)(iii) of this section do not apply if the registration statement is on Form S-3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required to be included in a post-effective amendment by those paragraphs is contained in periodic reports filed with or furnished to the SEC by the registrant pursuant to Section 13 or Section 15(d) of the Securities Exchange Act of 1934, as amended, or Exchange Act, that are incorporated by reference in the registration statement, or is contained in a form of prospectus filed pursuant to Rule 424(b) that is part of the registration statement.</w:t>
      </w:r>
    </w:p>
    <w:p>
      <w:pPr>
        <w:spacing w:after="0" w:line="182" w:lineRule="exact"/>
        <w:rPr>
          <w:sz w:val="20"/>
          <w:szCs w:val="20"/>
          <w:color w:val="auto"/>
        </w:rPr>
      </w:pPr>
    </w:p>
    <w:p>
      <w:pPr>
        <w:ind w:right="220" w:firstLine="656"/>
        <w:spacing w:after="0" w:line="266" w:lineRule="auto"/>
        <w:tabs>
          <w:tab w:leader="none" w:pos="9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75" w:lineRule="exact"/>
        <w:rPr>
          <w:rFonts w:ascii="Times New Roman" w:cs="Times New Roman" w:eastAsia="Times New Roman" w:hAnsi="Times New Roman"/>
          <w:sz w:val="18"/>
          <w:szCs w:val="18"/>
          <w:color w:val="auto"/>
        </w:rPr>
      </w:pPr>
    </w:p>
    <w:p>
      <w:pPr>
        <w:ind w:right="640" w:firstLine="656"/>
        <w:spacing w:after="0" w:line="282" w:lineRule="auto"/>
        <w:tabs>
          <w:tab w:leader="none" w:pos="9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2" w:right="359" w:bottom="1440" w:gutter="0" w:footer="0" w:header="0"/>
        </w:sectPr>
      </w:pPr>
    </w:p>
    <w:bookmarkStart w:id="5" w:name="page6"/>
    <w:bookmarkEnd w:id="5"/>
    <w:p>
      <w:pPr>
        <w:ind w:left="920" w:hanging="264"/>
        <w:spacing w:after="0"/>
        <w:tabs>
          <w:tab w:leader="none" w:pos="9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to any purchaser:</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1523"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61" w:lineRule="exact"/>
        <w:rPr>
          <w:rFonts w:ascii="Times New Roman" w:cs="Times New Roman" w:eastAsia="Times New Roman" w:hAnsi="Times New Roman"/>
          <w:sz w:val="18"/>
          <w:szCs w:val="18"/>
          <w:color w:val="auto"/>
        </w:rPr>
      </w:pPr>
    </w:p>
    <w:p>
      <w:pPr>
        <w:ind w:left="660" w:right="40" w:firstLine="644"/>
        <w:spacing w:after="0" w:line="253" w:lineRule="auto"/>
        <w:tabs>
          <w:tab w:leader="none" w:pos="1573"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9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to any purchaser in the initial distribution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w:t>
      </w:r>
    </w:p>
    <w:p>
      <w:pPr>
        <w:spacing w:after="0" w:line="207" w:lineRule="exact"/>
        <w:rPr>
          <w:sz w:val="20"/>
          <w:szCs w:val="20"/>
          <w:color w:val="auto"/>
        </w:rPr>
      </w:pPr>
    </w:p>
    <w:p>
      <w:pPr>
        <w:ind w:right="180" w:firstLine="1304"/>
        <w:spacing w:after="0" w:line="261" w:lineRule="auto"/>
        <w:tabs>
          <w:tab w:leader="none" w:pos="1591"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79" w:lineRule="exact"/>
        <w:rPr>
          <w:rFonts w:ascii="Times New Roman" w:cs="Times New Roman" w:eastAsia="Times New Roman" w:hAnsi="Times New Roman"/>
          <w:sz w:val="18"/>
          <w:szCs w:val="18"/>
          <w:color w:val="auto"/>
        </w:rPr>
      </w:pPr>
    </w:p>
    <w:p>
      <w:pPr>
        <w:ind w:left="2160" w:hanging="208"/>
        <w:spacing w:after="0"/>
        <w:tabs>
          <w:tab w:leader="none" w:pos="2160"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424;</w:t>
      </w:r>
    </w:p>
    <w:p>
      <w:pPr>
        <w:spacing w:after="0" w:line="206" w:lineRule="exact"/>
        <w:rPr>
          <w:rFonts w:ascii="Times New Roman" w:cs="Times New Roman" w:eastAsia="Times New Roman" w:hAnsi="Times New Roman"/>
          <w:sz w:val="18"/>
          <w:szCs w:val="18"/>
          <w:color w:val="auto"/>
        </w:rPr>
      </w:pPr>
    </w:p>
    <w:p>
      <w:pPr>
        <w:ind w:left="660" w:right="40" w:firstLine="1292"/>
        <w:spacing w:after="0" w:line="282" w:lineRule="auto"/>
        <w:tabs>
          <w:tab w:leader="none" w:pos="2221"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161" w:lineRule="exact"/>
        <w:rPr>
          <w:rFonts w:ascii="Times New Roman" w:cs="Times New Roman" w:eastAsia="Times New Roman" w:hAnsi="Times New Roman"/>
          <w:sz w:val="18"/>
          <w:szCs w:val="18"/>
          <w:color w:val="auto"/>
        </w:rPr>
      </w:pPr>
    </w:p>
    <w:p>
      <w:pPr>
        <w:ind w:left="660" w:right="800" w:firstLine="1292"/>
        <w:spacing w:after="0" w:line="282" w:lineRule="auto"/>
        <w:tabs>
          <w:tab w:leader="none" w:pos="2271"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61"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225" w:lineRule="exact"/>
        <w:rPr>
          <w:rFonts w:ascii="Times New Roman" w:cs="Times New Roman" w:eastAsia="Times New Roman" w:hAnsi="Times New Roman"/>
          <w:sz w:val="18"/>
          <w:szCs w:val="18"/>
          <w:color w:val="auto"/>
        </w:rPr>
      </w:pPr>
    </w:p>
    <w:p>
      <w:pPr>
        <w:ind w:right="20" w:firstLine="656"/>
        <w:spacing w:after="0" w:line="254" w:lineRule="auto"/>
        <w:tabs>
          <w:tab w:leader="none" w:pos="93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91" w:lineRule="exact"/>
        <w:rPr>
          <w:rFonts w:ascii="Times New Roman" w:cs="Times New Roman" w:eastAsia="Times New Roman" w:hAnsi="Times New Roman"/>
          <w:sz w:val="18"/>
          <w:szCs w:val="18"/>
          <w:color w:val="auto"/>
        </w:rPr>
      </w:pPr>
    </w:p>
    <w:p>
      <w:pPr>
        <w:ind w:right="40" w:firstLine="656"/>
        <w:spacing w:after="0" w:line="261" w:lineRule="auto"/>
        <w:tabs>
          <w:tab w:leader="none" w:pos="93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each filing of the registrant’s annual report pursuant to Section 13(a) or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79" w:lineRule="exact"/>
        <w:rPr>
          <w:rFonts w:ascii="Times New Roman" w:cs="Times New Roman" w:eastAsia="Times New Roman" w:hAnsi="Times New Roman"/>
          <w:sz w:val="18"/>
          <w:szCs w:val="18"/>
          <w:color w:val="auto"/>
        </w:rPr>
      </w:pPr>
    </w:p>
    <w:p>
      <w:pPr>
        <w:jc w:val="both"/>
        <w:ind w:right="340" w:firstLine="656"/>
        <w:spacing w:after="0" w:line="266" w:lineRule="auto"/>
        <w:tabs>
          <w:tab w:leader="none" w:pos="94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to file an application for the purpose of determining the eligibility of the trustee to act under subsection (a) of section 310 of the Trust Indenture Act of 1939, as amended, or the Act, in accordance with the rules and regulations prescribed by the Commission under section 305(b)(2) of the Act.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920" w:type="dxa"/>
            <w:vAlign w:val="bottom"/>
            <w:gridSpan w:val="13"/>
          </w:tcPr>
          <w:p>
            <w:pPr>
              <w:ind w:left="2400"/>
              <w:spacing w:after="0"/>
              <w:rPr>
                <w:sz w:val="20"/>
                <w:szCs w:val="20"/>
                <w:color w:val="auto"/>
              </w:rPr>
            </w:pPr>
            <w:r>
              <w:rPr>
                <w:rFonts w:ascii="Times New Roman" w:cs="Times New Roman" w:eastAsia="Times New Roman" w:hAnsi="Times New Roman"/>
                <w:sz w:val="18"/>
                <w:szCs w:val="18"/>
                <w:b w:val="1"/>
                <w:bCs w:val="1"/>
                <w:color w:val="auto"/>
              </w:rPr>
              <w:t>INDEX TO EXHIBITS</w:t>
            </w:r>
          </w:p>
        </w:tc>
      </w:tr>
      <w:tr>
        <w:trPr>
          <w:trHeight w:val="4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1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00" w:type="dxa"/>
            <w:vAlign w:val="bottom"/>
            <w:gridSpan w:val="14"/>
          </w:tcPr>
          <w:p>
            <w:pPr>
              <w:spacing w:after="0"/>
              <w:rPr>
                <w:sz w:val="20"/>
                <w:szCs w:val="20"/>
                <w:color w:val="auto"/>
              </w:rPr>
            </w:pPr>
            <w:r>
              <w:rPr>
                <w:rFonts w:ascii="Times New Roman" w:cs="Times New Roman" w:eastAsia="Times New Roman" w:hAnsi="Times New Roman"/>
                <w:sz w:val="18"/>
                <w:szCs w:val="18"/>
                <w:b w:val="1"/>
                <w:bCs w:val="1"/>
                <w:color w:val="auto"/>
              </w:rPr>
              <w:t>Description of Document</w:t>
            </w:r>
          </w:p>
        </w:tc>
      </w:tr>
      <w:tr>
        <w:trPr>
          <w:trHeight w:val="216"/>
        </w:trPr>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8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8"/>
                <w:szCs w:val="18"/>
                <w:color w:val="auto"/>
              </w:rPr>
            </w:pPr>
          </w:p>
        </w:tc>
        <w:tc>
          <w:tcPr>
            <w:tcW w:w="1010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of Underwriting Agreement</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shd w:val="clear" w:color="auto" w:fill="CCEEFF"/>
          </w:tcPr>
          <w:p>
            <w:pPr>
              <w:spacing w:after="0"/>
              <w:rPr>
                <w:sz w:val="15"/>
                <w:szCs w:val="15"/>
                <w:color w:val="auto"/>
              </w:rPr>
            </w:pPr>
          </w:p>
        </w:tc>
        <w:tc>
          <w:tcPr>
            <w:tcW w:w="10100" w:type="dxa"/>
            <w:vAlign w:val="bottom"/>
            <w:gridSpan w:val="14"/>
            <w:shd w:val="clear" w:color="auto" w:fill="CCEEFF"/>
          </w:tcPr>
          <w:p>
            <w:pPr>
              <w:spacing w:after="0" w:line="176" w:lineRule="exact"/>
              <w:rPr>
                <w:rFonts w:ascii="Times New Roman" w:cs="Times New Roman" w:eastAsia="Times New Roman" w:hAnsi="Times New Roman"/>
                <w:sz w:val="18"/>
                <w:szCs w:val="18"/>
                <w:color w:val="0000EE"/>
              </w:rPr>
            </w:pPr>
            <w:hyperlink r:id="rId17">
              <w:r>
                <w:rPr>
                  <w:rFonts w:ascii="Times New Roman" w:cs="Times New Roman" w:eastAsia="Times New Roman" w:hAnsi="Times New Roman"/>
                  <w:sz w:val="18"/>
                  <w:szCs w:val="18"/>
                  <w:color w:val="0000EE"/>
                </w:rPr>
                <w:t>Registrant’s Specimen Certificate for Common Shares (incorporated herein by reference to Exhibit 4.1 to our registration statement on</w:t>
              </w:r>
            </w:hyperlink>
          </w:p>
        </w:tc>
      </w:tr>
      <w:tr>
        <w:trPr>
          <w:trHeight w:val="217"/>
        </w:trPr>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680" w:type="dxa"/>
            <w:vAlign w:val="bottom"/>
            <w:tcBorders>
              <w:top w:val="single" w:sz="8" w:color="0000EE"/>
            </w:tcBorders>
            <w:gridSpan w:val="12"/>
            <w:shd w:val="clear" w:color="auto" w:fill="CCEEFF"/>
          </w:tcPr>
          <w:p>
            <w:pPr>
              <w:spacing w:after="0" w:line="196" w:lineRule="exact"/>
              <w:rPr>
                <w:rFonts w:ascii="Times New Roman" w:cs="Times New Roman" w:eastAsia="Times New Roman" w:hAnsi="Times New Roman"/>
                <w:sz w:val="18"/>
                <w:szCs w:val="18"/>
                <w:color w:val="0000EE"/>
              </w:rPr>
            </w:pPr>
            <w:hyperlink r:id="rId17">
              <w:r>
                <w:rPr>
                  <w:rFonts w:ascii="Times New Roman" w:cs="Times New Roman" w:eastAsia="Times New Roman" w:hAnsi="Times New Roman"/>
                  <w:sz w:val="18"/>
                  <w:szCs w:val="18"/>
                  <w:color w:val="0000EE"/>
                </w:rPr>
                <w:t>Form F-3 (file No. 333-210735), filed with the Securities and Exchange Commission on April 13, 2016)</w:t>
              </w:r>
            </w:hyperlink>
          </w:p>
        </w:tc>
        <w:tc>
          <w:tcPr>
            <w:tcW w:w="42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80" w:type="dxa"/>
            <w:vAlign w:val="bottom"/>
            <w:tcBorders>
              <w:top w:val="single" w:sz="8" w:color="0000EE"/>
            </w:tcBorders>
          </w:tcPr>
          <w:p>
            <w:pPr>
              <w:spacing w:after="0"/>
              <w:rPr>
                <w:sz w:val="18"/>
                <w:szCs w:val="18"/>
                <w:color w:val="auto"/>
              </w:rPr>
            </w:pPr>
          </w:p>
        </w:tc>
        <w:tc>
          <w:tcPr>
            <w:tcW w:w="28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CEEFF"/>
          </w:tcPr>
          <w:p>
            <w:pPr>
              <w:spacing w:after="0"/>
              <w:rPr>
                <w:sz w:val="18"/>
                <w:szCs w:val="18"/>
                <w:color w:val="auto"/>
              </w:rPr>
            </w:pPr>
          </w:p>
        </w:tc>
        <w:tc>
          <w:tcPr>
            <w:tcW w:w="1010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Specimen Preferred Share Certificate and Form of Certificate of Designations of Preferred Shares</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CCEEFF"/>
          </w:tcPr>
          <w:p>
            <w:pPr>
              <w:spacing w:after="0"/>
              <w:rPr>
                <w:sz w:val="18"/>
                <w:szCs w:val="18"/>
                <w:color w:val="auto"/>
              </w:rPr>
            </w:pPr>
          </w:p>
        </w:tc>
        <w:tc>
          <w:tcPr>
            <w:tcW w:w="1010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of Indenture</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CEEFF"/>
          </w:tcPr>
          <w:p>
            <w:pPr>
              <w:spacing w:after="0"/>
              <w:rPr>
                <w:sz w:val="18"/>
                <w:szCs w:val="18"/>
                <w:color w:val="auto"/>
              </w:rPr>
            </w:pPr>
          </w:p>
        </w:tc>
        <w:tc>
          <w:tcPr>
            <w:tcW w:w="1010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of Debt Security</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CEEFF"/>
          </w:tcPr>
          <w:p>
            <w:pPr>
              <w:spacing w:after="0"/>
              <w:rPr>
                <w:sz w:val="18"/>
                <w:szCs w:val="18"/>
                <w:color w:val="auto"/>
              </w:rPr>
            </w:pPr>
          </w:p>
        </w:tc>
        <w:tc>
          <w:tcPr>
            <w:tcW w:w="1010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of Warrant</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shd w:val="clear" w:color="auto" w:fill="CCEEFF"/>
          </w:tcPr>
          <w:p>
            <w:pPr>
              <w:spacing w:after="0"/>
              <w:rPr>
                <w:sz w:val="18"/>
                <w:szCs w:val="18"/>
                <w:color w:val="auto"/>
              </w:rPr>
            </w:pPr>
          </w:p>
        </w:tc>
        <w:tc>
          <w:tcPr>
            <w:tcW w:w="1010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of Warrant Agreement</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shd w:val="clear" w:color="auto" w:fill="CCEEFF"/>
          </w:tcPr>
          <w:p>
            <w:pPr>
              <w:spacing w:after="0"/>
              <w:rPr>
                <w:sz w:val="18"/>
                <w:szCs w:val="18"/>
                <w:color w:val="auto"/>
              </w:rPr>
            </w:pPr>
          </w:p>
        </w:tc>
        <w:tc>
          <w:tcPr>
            <w:tcW w:w="1010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of Unit Agreement (including form of Unit Certificate)</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5.1+</w:t>
            </w:r>
          </w:p>
        </w:tc>
        <w:tc>
          <w:tcPr>
            <w:tcW w:w="120" w:type="dxa"/>
            <w:vAlign w:val="bottom"/>
            <w:shd w:val="clear" w:color="auto" w:fill="CCEEFF"/>
          </w:tcPr>
          <w:p>
            <w:pPr>
              <w:spacing w:after="0"/>
              <w:rPr>
                <w:sz w:val="17"/>
                <w:szCs w:val="17"/>
                <w:color w:val="auto"/>
              </w:rPr>
            </w:pPr>
          </w:p>
        </w:tc>
        <w:tc>
          <w:tcPr>
            <w:tcW w:w="10100" w:type="dxa"/>
            <w:vAlign w:val="bottom"/>
            <w:gridSpan w:val="14"/>
            <w:shd w:val="clear" w:color="auto" w:fill="CCEEFF"/>
          </w:tcPr>
          <w:p>
            <w:pPr>
              <w:spacing w:after="0" w:line="176" w:lineRule="exact"/>
              <w:rPr>
                <w:rFonts w:ascii="Times New Roman" w:cs="Times New Roman" w:eastAsia="Times New Roman" w:hAnsi="Times New Roman"/>
                <w:sz w:val="18"/>
                <w:szCs w:val="18"/>
                <w:color w:val="0000EE"/>
              </w:rPr>
            </w:pPr>
            <w:hyperlink r:id="rId18">
              <w:r>
                <w:rPr>
                  <w:rFonts w:ascii="Times New Roman" w:cs="Times New Roman" w:eastAsia="Times New Roman" w:hAnsi="Times New Roman"/>
                  <w:sz w:val="18"/>
                  <w:szCs w:val="18"/>
                  <w:color w:val="0000EE"/>
                </w:rPr>
                <w:t>Opinion of Meretsky Law Firm regarding the validity of the securities</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80" w:type="dxa"/>
            <w:vAlign w:val="bottom"/>
            <w:tcBorders>
              <w:top w:val="single" w:sz="8" w:color="0000EE"/>
            </w:tcBorders>
          </w:tcPr>
          <w:p>
            <w:pPr>
              <w:spacing w:after="0"/>
              <w:rPr>
                <w:sz w:val="18"/>
                <w:szCs w:val="18"/>
                <w:color w:val="auto"/>
              </w:rPr>
            </w:pPr>
          </w:p>
        </w:tc>
        <w:tc>
          <w:tcPr>
            <w:tcW w:w="28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5.2+</w:t>
            </w:r>
          </w:p>
        </w:tc>
        <w:tc>
          <w:tcPr>
            <w:tcW w:w="120" w:type="dxa"/>
            <w:vAlign w:val="bottom"/>
            <w:shd w:val="clear" w:color="auto" w:fill="CCEEFF"/>
          </w:tcPr>
          <w:p>
            <w:pPr>
              <w:spacing w:after="0"/>
              <w:rPr>
                <w:sz w:val="17"/>
                <w:szCs w:val="17"/>
                <w:color w:val="auto"/>
              </w:rPr>
            </w:pPr>
          </w:p>
        </w:tc>
        <w:tc>
          <w:tcPr>
            <w:tcW w:w="10100" w:type="dxa"/>
            <w:vAlign w:val="bottom"/>
            <w:gridSpan w:val="14"/>
            <w:shd w:val="clear" w:color="auto" w:fill="CCEEFF"/>
          </w:tcPr>
          <w:p>
            <w:pPr>
              <w:spacing w:after="0" w:line="176" w:lineRule="exact"/>
              <w:rPr>
                <w:rFonts w:ascii="Times New Roman" w:cs="Times New Roman" w:eastAsia="Times New Roman" w:hAnsi="Times New Roman"/>
                <w:sz w:val="18"/>
                <w:szCs w:val="18"/>
                <w:color w:val="0000EE"/>
              </w:rPr>
            </w:pPr>
            <w:hyperlink r:id="rId19">
              <w:r>
                <w:rPr>
                  <w:rFonts w:ascii="Times New Roman" w:cs="Times New Roman" w:eastAsia="Times New Roman" w:hAnsi="Times New Roman"/>
                  <w:sz w:val="18"/>
                  <w:szCs w:val="18"/>
                  <w:color w:val="0000EE"/>
                </w:rPr>
                <w:t>Opinion of Pryor Cashman LLP regarding the validity of the securities</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80" w:type="dxa"/>
            <w:vAlign w:val="bottom"/>
            <w:tcBorders>
              <w:top w:val="single" w:sz="8" w:color="0000EE"/>
            </w:tcBorders>
          </w:tcPr>
          <w:p>
            <w:pPr>
              <w:spacing w:after="0"/>
              <w:rPr>
                <w:sz w:val="18"/>
                <w:szCs w:val="18"/>
                <w:color w:val="auto"/>
              </w:rPr>
            </w:pPr>
          </w:p>
        </w:tc>
        <w:tc>
          <w:tcPr>
            <w:tcW w:w="28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shd w:val="clear" w:color="auto" w:fill="CCEEFF"/>
          </w:tcPr>
          <w:p>
            <w:pPr>
              <w:spacing w:after="0"/>
              <w:rPr>
                <w:sz w:val="17"/>
                <w:szCs w:val="17"/>
                <w:color w:val="auto"/>
              </w:rPr>
            </w:pPr>
          </w:p>
        </w:tc>
        <w:tc>
          <w:tcPr>
            <w:tcW w:w="10100" w:type="dxa"/>
            <w:vAlign w:val="bottom"/>
            <w:gridSpan w:val="14"/>
            <w:shd w:val="clear" w:color="auto" w:fill="CCEEFF"/>
          </w:tcPr>
          <w:p>
            <w:pPr>
              <w:spacing w:after="0" w:line="176" w:lineRule="exact"/>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color w:val="0000EE"/>
                </w:rPr>
                <w:t>Master Agreement between Sphere 3D Corp. and Compute North LLC (as assigned to GC Data Center Granbury, LLC) dated June 3, 2022</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80" w:type="dxa"/>
            <w:vAlign w:val="bottom"/>
            <w:tcBorders>
              <w:top w:val="single" w:sz="8" w:color="0000EE"/>
            </w:tcBorders>
          </w:tcPr>
          <w:p>
            <w:pPr>
              <w:spacing w:after="0"/>
              <w:rPr>
                <w:sz w:val="18"/>
                <w:szCs w:val="18"/>
                <w:color w:val="auto"/>
              </w:rPr>
            </w:pPr>
          </w:p>
        </w:tc>
        <w:tc>
          <w:tcPr>
            <w:tcW w:w="28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20" w:type="dxa"/>
            <w:vAlign w:val="bottom"/>
            <w:shd w:val="clear" w:color="auto" w:fill="CCEEFF"/>
          </w:tcPr>
          <w:p>
            <w:pPr>
              <w:spacing w:after="0"/>
              <w:rPr>
                <w:sz w:val="17"/>
                <w:szCs w:val="17"/>
                <w:color w:val="auto"/>
              </w:rPr>
            </w:pPr>
          </w:p>
        </w:tc>
        <w:tc>
          <w:tcPr>
            <w:tcW w:w="10100" w:type="dxa"/>
            <w:vAlign w:val="bottom"/>
            <w:gridSpan w:val="14"/>
            <w:shd w:val="clear" w:color="auto" w:fill="CCEEFF"/>
          </w:tcPr>
          <w:p>
            <w:pPr>
              <w:spacing w:after="0" w:line="176" w:lineRule="exact"/>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color w:val="0000EE"/>
                </w:rPr>
                <w:t>Hosting Agreement between Sphere 3D Corp. and Lancium, FS 25, LLC dated February 8, 2023</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80" w:type="dxa"/>
            <w:vAlign w:val="bottom"/>
            <w:tcBorders>
              <w:top w:val="single" w:sz="8" w:color="0000EE"/>
            </w:tcBorders>
          </w:tcPr>
          <w:p>
            <w:pPr>
              <w:spacing w:after="0"/>
              <w:rPr>
                <w:sz w:val="18"/>
                <w:szCs w:val="18"/>
                <w:color w:val="auto"/>
              </w:rPr>
            </w:pPr>
          </w:p>
        </w:tc>
        <w:tc>
          <w:tcPr>
            <w:tcW w:w="28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120" w:type="dxa"/>
            <w:vAlign w:val="bottom"/>
            <w:shd w:val="clear" w:color="auto" w:fill="CCEEFF"/>
          </w:tcPr>
          <w:p>
            <w:pPr>
              <w:spacing w:after="0"/>
              <w:rPr>
                <w:sz w:val="17"/>
                <w:szCs w:val="17"/>
                <w:color w:val="auto"/>
              </w:rPr>
            </w:pPr>
          </w:p>
        </w:tc>
        <w:tc>
          <w:tcPr>
            <w:tcW w:w="10100" w:type="dxa"/>
            <w:vAlign w:val="bottom"/>
            <w:gridSpan w:val="14"/>
            <w:shd w:val="clear" w:color="auto" w:fill="CCEEFF"/>
          </w:tcPr>
          <w:p>
            <w:pPr>
              <w:spacing w:after="0" w:line="176" w:lineRule="exact"/>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color w:val="0000EE"/>
                </w:rPr>
                <w:t>Master Hosting Services Agreement between Sphere 3D Corp. and Rebel Mining Company, LLC dated April 4, 2023</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80" w:type="dxa"/>
            <w:vAlign w:val="bottom"/>
            <w:tcBorders>
              <w:top w:val="single" w:sz="8" w:color="0000EE"/>
            </w:tcBorders>
          </w:tcPr>
          <w:p>
            <w:pPr>
              <w:spacing w:after="0"/>
              <w:rPr>
                <w:sz w:val="18"/>
                <w:szCs w:val="18"/>
                <w:color w:val="auto"/>
              </w:rPr>
            </w:pPr>
          </w:p>
        </w:tc>
        <w:tc>
          <w:tcPr>
            <w:tcW w:w="28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10.4#+</w:t>
            </w:r>
          </w:p>
        </w:tc>
        <w:tc>
          <w:tcPr>
            <w:tcW w:w="120" w:type="dxa"/>
            <w:vAlign w:val="bottom"/>
            <w:shd w:val="clear" w:color="auto" w:fill="CCEEFF"/>
          </w:tcPr>
          <w:p>
            <w:pPr>
              <w:spacing w:after="0"/>
              <w:rPr>
                <w:sz w:val="17"/>
                <w:szCs w:val="17"/>
                <w:color w:val="auto"/>
              </w:rPr>
            </w:pPr>
          </w:p>
        </w:tc>
        <w:tc>
          <w:tcPr>
            <w:tcW w:w="10100" w:type="dxa"/>
            <w:vAlign w:val="bottom"/>
            <w:gridSpan w:val="14"/>
            <w:shd w:val="clear" w:color="auto" w:fill="CCEEFF"/>
          </w:tcPr>
          <w:p>
            <w:pPr>
              <w:spacing w:after="0" w:line="176" w:lineRule="exact"/>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0000EE"/>
                </w:rPr>
                <w:t>Hosting Agreement between Sphere 3D Corp. and Joshi Petroleum, LLC dated October 18, 2023.</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80" w:type="dxa"/>
            <w:vAlign w:val="bottom"/>
            <w:tcBorders>
              <w:top w:val="single" w:sz="8" w:color="0000EE"/>
            </w:tcBorders>
          </w:tcPr>
          <w:p>
            <w:pPr>
              <w:spacing w:after="0"/>
              <w:rPr>
                <w:sz w:val="18"/>
                <w:szCs w:val="18"/>
                <w:color w:val="auto"/>
              </w:rPr>
            </w:pPr>
          </w:p>
        </w:tc>
        <w:tc>
          <w:tcPr>
            <w:tcW w:w="28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23.1</w:t>
            </w:r>
          </w:p>
        </w:tc>
        <w:tc>
          <w:tcPr>
            <w:tcW w:w="120" w:type="dxa"/>
            <w:vAlign w:val="bottom"/>
            <w:shd w:val="clear" w:color="auto" w:fill="CCEEFF"/>
          </w:tcPr>
          <w:p>
            <w:pPr>
              <w:spacing w:after="0"/>
              <w:rPr>
                <w:sz w:val="17"/>
                <w:szCs w:val="17"/>
                <w:color w:val="auto"/>
              </w:rPr>
            </w:pPr>
          </w:p>
        </w:tc>
        <w:tc>
          <w:tcPr>
            <w:tcW w:w="10100" w:type="dxa"/>
            <w:vAlign w:val="bottom"/>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Consent of MaloneBailey, LLP, Independent Registered Public Accounting Firm</w:t>
            </w: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80" w:type="dxa"/>
            <w:vAlign w:val="bottom"/>
            <w:tcBorders>
              <w:top w:val="single" w:sz="8" w:color="0000EE"/>
            </w:tcBorders>
          </w:tcPr>
          <w:p>
            <w:pPr>
              <w:spacing w:after="0"/>
              <w:rPr>
                <w:sz w:val="18"/>
                <w:szCs w:val="18"/>
                <w:color w:val="auto"/>
              </w:rPr>
            </w:pPr>
          </w:p>
        </w:tc>
        <w:tc>
          <w:tcPr>
            <w:tcW w:w="28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23.2+</w:t>
            </w:r>
          </w:p>
        </w:tc>
        <w:tc>
          <w:tcPr>
            <w:tcW w:w="120" w:type="dxa"/>
            <w:vAlign w:val="bottom"/>
            <w:shd w:val="clear" w:color="auto" w:fill="CCEEFF"/>
          </w:tcPr>
          <w:p>
            <w:pPr>
              <w:spacing w:after="0"/>
              <w:rPr>
                <w:sz w:val="17"/>
                <w:szCs w:val="17"/>
                <w:color w:val="auto"/>
              </w:rPr>
            </w:pPr>
          </w:p>
        </w:tc>
        <w:tc>
          <w:tcPr>
            <w:tcW w:w="10100" w:type="dxa"/>
            <w:vAlign w:val="bottom"/>
            <w:gridSpan w:val="14"/>
            <w:shd w:val="clear" w:color="auto" w:fill="CCEEFF"/>
          </w:tcPr>
          <w:p>
            <w:pPr>
              <w:spacing w:after="0" w:line="176" w:lineRule="exact"/>
              <w:rPr>
                <w:rFonts w:ascii="Times New Roman" w:cs="Times New Roman" w:eastAsia="Times New Roman" w:hAnsi="Times New Roman"/>
                <w:sz w:val="18"/>
                <w:szCs w:val="18"/>
                <w:color w:val="0000EE"/>
              </w:rPr>
            </w:pPr>
            <w:hyperlink r:id="rId18">
              <w:r>
                <w:rPr>
                  <w:rFonts w:ascii="Times New Roman" w:cs="Times New Roman" w:eastAsia="Times New Roman" w:hAnsi="Times New Roman"/>
                  <w:sz w:val="18"/>
                  <w:szCs w:val="18"/>
                  <w:color w:val="0000EE"/>
                </w:rPr>
                <w:t>Consent of Meretsky Law Firm (included in Exhibit 5.1)</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80" w:type="dxa"/>
            <w:vAlign w:val="bottom"/>
            <w:tcBorders>
              <w:top w:val="single" w:sz="8" w:color="0000EE"/>
            </w:tcBorders>
          </w:tcPr>
          <w:p>
            <w:pPr>
              <w:spacing w:after="0"/>
              <w:rPr>
                <w:sz w:val="18"/>
                <w:szCs w:val="18"/>
                <w:color w:val="auto"/>
              </w:rPr>
            </w:pPr>
          </w:p>
        </w:tc>
        <w:tc>
          <w:tcPr>
            <w:tcW w:w="28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23.3+</w:t>
            </w:r>
          </w:p>
        </w:tc>
        <w:tc>
          <w:tcPr>
            <w:tcW w:w="120" w:type="dxa"/>
            <w:vAlign w:val="bottom"/>
            <w:shd w:val="clear" w:color="auto" w:fill="CCEEFF"/>
          </w:tcPr>
          <w:p>
            <w:pPr>
              <w:spacing w:after="0"/>
              <w:rPr>
                <w:sz w:val="17"/>
                <w:szCs w:val="17"/>
                <w:color w:val="auto"/>
              </w:rPr>
            </w:pPr>
          </w:p>
        </w:tc>
        <w:tc>
          <w:tcPr>
            <w:tcW w:w="10100" w:type="dxa"/>
            <w:vAlign w:val="bottom"/>
            <w:gridSpan w:val="14"/>
            <w:shd w:val="clear" w:color="auto" w:fill="CCEEFF"/>
          </w:tcPr>
          <w:p>
            <w:pPr>
              <w:spacing w:after="0" w:line="176" w:lineRule="exact"/>
              <w:rPr>
                <w:rFonts w:ascii="Times New Roman" w:cs="Times New Roman" w:eastAsia="Times New Roman" w:hAnsi="Times New Roman"/>
                <w:sz w:val="18"/>
                <w:szCs w:val="18"/>
                <w:color w:val="0000EE"/>
              </w:rPr>
            </w:pPr>
            <w:hyperlink r:id="rId19">
              <w:r>
                <w:rPr>
                  <w:rFonts w:ascii="Times New Roman" w:cs="Times New Roman" w:eastAsia="Times New Roman" w:hAnsi="Times New Roman"/>
                  <w:sz w:val="18"/>
                  <w:szCs w:val="18"/>
                  <w:color w:val="0000EE"/>
                </w:rPr>
                <w:t>Consent of Pryor Cashman LLP (included in Exhibit 5.2)</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80" w:type="dxa"/>
            <w:vAlign w:val="bottom"/>
            <w:tcBorders>
              <w:top w:val="single" w:sz="8" w:color="0000EE"/>
            </w:tcBorders>
          </w:tcPr>
          <w:p>
            <w:pPr>
              <w:spacing w:after="0"/>
              <w:rPr>
                <w:sz w:val="18"/>
                <w:szCs w:val="18"/>
                <w:color w:val="auto"/>
              </w:rPr>
            </w:pPr>
          </w:p>
        </w:tc>
        <w:tc>
          <w:tcPr>
            <w:tcW w:w="28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24.1+</w:t>
            </w:r>
          </w:p>
        </w:tc>
        <w:tc>
          <w:tcPr>
            <w:tcW w:w="120" w:type="dxa"/>
            <w:vAlign w:val="bottom"/>
            <w:shd w:val="clear" w:color="auto" w:fill="CCEEFF"/>
          </w:tcPr>
          <w:p>
            <w:pPr>
              <w:spacing w:after="0"/>
              <w:rPr>
                <w:sz w:val="17"/>
                <w:szCs w:val="17"/>
                <w:color w:val="auto"/>
              </w:rPr>
            </w:pPr>
          </w:p>
        </w:tc>
        <w:tc>
          <w:tcPr>
            <w:tcW w:w="10100" w:type="dxa"/>
            <w:vAlign w:val="bottom"/>
            <w:gridSpan w:val="14"/>
            <w:shd w:val="clear" w:color="auto" w:fill="CCEEFF"/>
          </w:tcPr>
          <w:p>
            <w:pPr>
              <w:spacing w:after="0" w:line="176" w:lineRule="exact"/>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Powers of Attorney (included as part of signature page)</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80" w:type="dxa"/>
            <w:vAlign w:val="bottom"/>
            <w:tcBorders>
              <w:top w:val="single" w:sz="8" w:color="0000EE"/>
            </w:tcBorders>
          </w:tcPr>
          <w:p>
            <w:pPr>
              <w:spacing w:after="0"/>
              <w:rPr>
                <w:sz w:val="18"/>
                <w:szCs w:val="18"/>
                <w:color w:val="auto"/>
              </w:rPr>
            </w:pPr>
          </w:p>
        </w:tc>
        <w:tc>
          <w:tcPr>
            <w:tcW w:w="28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25.1*</w:t>
            </w:r>
          </w:p>
        </w:tc>
        <w:tc>
          <w:tcPr>
            <w:tcW w:w="120" w:type="dxa"/>
            <w:vAlign w:val="bottom"/>
            <w:shd w:val="clear" w:color="auto" w:fill="CCEEFF"/>
          </w:tcPr>
          <w:p>
            <w:pPr>
              <w:spacing w:after="0"/>
              <w:rPr>
                <w:sz w:val="18"/>
                <w:szCs w:val="18"/>
                <w:color w:val="auto"/>
              </w:rPr>
            </w:pPr>
          </w:p>
        </w:tc>
        <w:tc>
          <w:tcPr>
            <w:tcW w:w="1010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T-1 Statement of Eligibility and Qualification under the Trust Indenture Act of 1939, as amended, of the Trustee under the Indenture</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107+</w:t>
            </w:r>
          </w:p>
        </w:tc>
        <w:tc>
          <w:tcPr>
            <w:tcW w:w="120" w:type="dxa"/>
            <w:vAlign w:val="bottom"/>
            <w:shd w:val="clear" w:color="auto" w:fill="CCEEFF"/>
          </w:tcPr>
          <w:p>
            <w:pPr>
              <w:spacing w:after="0"/>
              <w:rPr>
                <w:sz w:val="15"/>
                <w:szCs w:val="15"/>
                <w:color w:val="auto"/>
              </w:rPr>
            </w:pPr>
          </w:p>
        </w:tc>
        <w:tc>
          <w:tcPr>
            <w:tcW w:w="10100" w:type="dxa"/>
            <w:vAlign w:val="bottom"/>
            <w:gridSpan w:val="14"/>
            <w:shd w:val="clear" w:color="auto" w:fill="CCEEFF"/>
          </w:tcPr>
          <w:p>
            <w:pPr>
              <w:spacing w:after="0" w:line="176" w:lineRule="exact"/>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0000EE"/>
                </w:rPr>
                <w:t>Filing Fee Table</w:t>
              </w:r>
            </w:hyperlink>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0000EE"/>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340" w:right="480" w:hanging="332"/>
        <w:spacing w:after="0" w:line="282"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filed as an exhibit to a post-effective amendment to this registration statement or as an exhibit to a report filed under the Exchange Act and incorporated herein by reference.</w:t>
      </w:r>
    </w:p>
    <w:p>
      <w:pPr>
        <w:spacing w:after="0" w:line="162"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w:t>
      </w:r>
    </w:p>
    <w:p>
      <w:pPr>
        <w:spacing w:after="0" w:line="225" w:lineRule="exact"/>
        <w:rPr>
          <w:sz w:val="20"/>
          <w:szCs w:val="20"/>
          <w:color w:val="auto"/>
        </w:rPr>
      </w:pPr>
    </w:p>
    <w:p>
      <w:pPr>
        <w:ind w:left="340" w:right="120" w:hanging="332"/>
        <w:spacing w:after="0" w:line="282"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confidential portions of this Exhibit were omitted pursuant to Item 601(b)(10)(iv) by means of marking such portions with brackets (“[***]”); the identified confidential portions (i) are not material and (ii) are customarily and actually treated as private or confidential.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Toronto, Ontario, Canada, on October 10, 2024.</w:t>
      </w:r>
    </w:p>
    <w:p>
      <w:pPr>
        <w:spacing w:after="0" w:line="17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Sphere 3D Corp.</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Patricia Trompeter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Patricia Trompeter</w:t>
      </w:r>
    </w:p>
    <w:p>
      <w:pPr>
        <w:spacing w:after="0" w:line="3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indicated below on October 10, 2024.</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17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5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Title</w:t>
            </w:r>
          </w:p>
        </w:tc>
      </w:tr>
      <w:tr>
        <w:trPr>
          <w:trHeight w:val="439"/>
        </w:trPr>
        <w:tc>
          <w:tcPr>
            <w:tcW w:w="3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Patricia Trompeter</w:t>
            </w:r>
          </w:p>
        </w:tc>
        <w:tc>
          <w:tcPr>
            <w:tcW w:w="1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34"/>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Patricia Trompeter</w:t>
            </w:r>
          </w:p>
        </w:tc>
        <w:tc>
          <w:tcPr>
            <w:tcW w:w="1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21"/>
        </w:trPr>
        <w:tc>
          <w:tcPr>
            <w:tcW w:w="3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Kurt L. Kalbfleisch</w:t>
            </w:r>
          </w:p>
        </w:tc>
        <w:tc>
          <w:tcPr>
            <w:tcW w:w="1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Secretary</w:t>
            </w:r>
          </w:p>
        </w:tc>
      </w:tr>
      <w:tr>
        <w:trPr>
          <w:trHeight w:val="234"/>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Kurt L. Kalbfleisch</w:t>
            </w:r>
          </w:p>
        </w:tc>
        <w:tc>
          <w:tcPr>
            <w:tcW w:w="1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421"/>
        </w:trPr>
        <w:tc>
          <w:tcPr>
            <w:tcW w:w="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3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David Danziger</w:t>
            </w:r>
          </w:p>
        </w:tc>
        <w:tc>
          <w:tcPr>
            <w:tcW w:w="1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500" w:type="dxa"/>
            <w:vAlign w:val="bottom"/>
          </w:tcPr>
          <w:p>
            <w:pPr>
              <w:spacing w:after="0"/>
              <w:rPr>
                <w:sz w:val="20"/>
                <w:szCs w:val="20"/>
                <w:color w:val="auto"/>
              </w:rPr>
            </w:pPr>
          </w:p>
        </w:tc>
      </w:tr>
      <w:tr>
        <w:trPr>
          <w:trHeight w:val="421"/>
        </w:trPr>
        <w:tc>
          <w:tcPr>
            <w:tcW w:w="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3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Timothy Hanley</w:t>
            </w:r>
          </w:p>
        </w:tc>
        <w:tc>
          <w:tcPr>
            <w:tcW w:w="1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500" w:type="dxa"/>
            <w:vAlign w:val="bottom"/>
          </w:tcPr>
          <w:p>
            <w:pPr>
              <w:spacing w:after="0"/>
              <w:rPr>
                <w:sz w:val="20"/>
                <w:szCs w:val="20"/>
                <w:color w:val="auto"/>
              </w:rPr>
            </w:pPr>
          </w:p>
        </w:tc>
      </w:tr>
      <w:tr>
        <w:trPr>
          <w:trHeight w:val="421"/>
        </w:trPr>
        <w:tc>
          <w:tcPr>
            <w:tcW w:w="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3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Susan Harnett</w:t>
            </w:r>
          </w:p>
        </w:tc>
        <w:tc>
          <w:tcPr>
            <w:tcW w:w="1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500" w:type="dxa"/>
            <w:vAlign w:val="bottom"/>
          </w:tcPr>
          <w:p>
            <w:pPr>
              <w:spacing w:after="0"/>
              <w:rPr>
                <w:sz w:val="20"/>
                <w:szCs w:val="20"/>
                <w:color w:val="auto"/>
              </w:rPr>
            </w:pPr>
          </w:p>
        </w:tc>
      </w:tr>
      <w:tr>
        <w:trPr>
          <w:trHeight w:val="421"/>
        </w:trPr>
        <w:tc>
          <w:tcPr>
            <w:tcW w:w="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3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Vivekanand Mahadevan</w:t>
            </w:r>
          </w:p>
        </w:tc>
        <w:tc>
          <w:tcPr>
            <w:tcW w:w="1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500" w:type="dxa"/>
            <w:vAlign w:val="bottom"/>
          </w:tcPr>
          <w:p>
            <w:pPr>
              <w:spacing w:after="0"/>
              <w:rPr>
                <w:sz w:val="20"/>
                <w:szCs w:val="20"/>
                <w:color w:val="auto"/>
              </w:rPr>
            </w:pPr>
          </w:p>
        </w:tc>
      </w:tr>
      <w:tr>
        <w:trPr>
          <w:trHeight w:val="421"/>
        </w:trPr>
        <w:tc>
          <w:tcPr>
            <w:tcW w:w="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3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Duncan McEwan</w:t>
            </w:r>
          </w:p>
        </w:tc>
        <w:tc>
          <w:tcPr>
            <w:tcW w:w="1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500" w:type="dxa"/>
            <w:vAlign w:val="bottom"/>
          </w:tcPr>
          <w:p>
            <w:pPr>
              <w:spacing w:after="0"/>
              <w:rPr>
                <w:sz w:val="20"/>
                <w:szCs w:val="20"/>
                <w:color w:val="auto"/>
              </w:rPr>
            </w:pPr>
          </w:p>
        </w:tc>
      </w:tr>
      <w:tr>
        <w:trPr>
          <w:trHeight w:val="421"/>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Patricia Trompeter</w:t>
            </w: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500" w:type="dxa"/>
            <w:vAlign w:val="bottom"/>
          </w:tcPr>
          <w:p>
            <w:pPr>
              <w:spacing w:after="0"/>
              <w:rPr>
                <w:sz w:val="24"/>
                <w:szCs w:val="24"/>
                <w:color w:val="auto"/>
              </w:rPr>
            </w:pPr>
          </w:p>
        </w:tc>
      </w:tr>
      <w:tr>
        <w:trPr>
          <w:trHeight w:val="198"/>
        </w:trPr>
        <w:tc>
          <w:tcPr>
            <w:tcW w:w="580" w:type="dxa"/>
            <w:vAlign w:val="bottom"/>
          </w:tcPr>
          <w:p>
            <w:pPr>
              <w:spacing w:after="0"/>
              <w:rPr>
                <w:sz w:val="17"/>
                <w:szCs w:val="17"/>
                <w:color w:val="auto"/>
              </w:rPr>
            </w:pPr>
          </w:p>
        </w:tc>
        <w:tc>
          <w:tcPr>
            <w:tcW w:w="330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Patricia Trompeter</w:t>
            </w:r>
          </w:p>
        </w:tc>
        <w:tc>
          <w:tcPr>
            <w:tcW w:w="17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500" w:type="dxa"/>
            <w:vAlign w:val="bottom"/>
          </w:tcPr>
          <w:p>
            <w:pPr>
              <w:spacing w:after="0"/>
              <w:rPr>
                <w:sz w:val="17"/>
                <w:szCs w:val="17"/>
                <w:color w:val="auto"/>
              </w:rPr>
            </w:pPr>
          </w:p>
        </w:tc>
      </w:tr>
      <w:tr>
        <w:trPr>
          <w:trHeight w:val="234"/>
        </w:trPr>
        <w:tc>
          <w:tcPr>
            <w:tcW w:w="580" w:type="dxa"/>
            <w:vAlign w:val="bottom"/>
          </w:tcPr>
          <w:p>
            <w:pPr>
              <w:spacing w:after="0"/>
              <w:rPr>
                <w:sz w:val="20"/>
                <w:szCs w:val="20"/>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Attorney-in-Fact</w:t>
            </w:r>
          </w:p>
        </w:tc>
        <w:tc>
          <w:tcPr>
            <w:tcW w:w="1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500" w:type="dxa"/>
            <w:vAlign w:val="bottom"/>
          </w:tcPr>
          <w:p>
            <w:pPr>
              <w:spacing w:after="0"/>
              <w:rPr>
                <w:sz w:val="20"/>
                <w:szCs w:val="20"/>
                <w:color w:val="auto"/>
              </w:rPr>
            </w:pPr>
          </w:p>
        </w:tc>
      </w:tr>
      <w:tr>
        <w:trPr>
          <w:trHeight w:val="655"/>
        </w:trPr>
        <w:tc>
          <w:tcPr>
            <w:tcW w:w="58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c>
          <w:tcPr>
            <w:tcW w:w="7360" w:type="dxa"/>
            <w:vAlign w:val="bottom"/>
            <w:tcBorders>
              <w:bottom w:val="single" w:sz="8" w:color="auto"/>
            </w:tcBorders>
            <w:gridSpan w:val="4"/>
          </w:tcPr>
          <w:p>
            <w:pPr>
              <w:ind w:left="1600"/>
              <w:spacing w:after="0"/>
              <w:rPr>
                <w:sz w:val="20"/>
                <w:szCs w:val="20"/>
                <w:color w:val="auto"/>
              </w:rPr>
            </w:pPr>
            <w:r>
              <w:rPr>
                <w:rFonts w:ascii="Times New Roman" w:cs="Times New Roman" w:eastAsia="Times New Roman" w:hAnsi="Times New Roman"/>
                <w:sz w:val="18"/>
                <w:szCs w:val="18"/>
                <w:color w:val="auto"/>
              </w:rPr>
              <w:t>II-5</w:t>
            </w:r>
          </w:p>
        </w:tc>
      </w:tr>
    </w:tbl>
    <w:p>
      <w:pPr>
        <w:sectPr>
          <w:pgSz w:w="11900" w:h="16838" w:orient="portrait"/>
          <w:cols w:equalWidth="0" w:num="1">
            <w:col w:w="11240"/>
          </w:cols>
          <w:pgMar w:left="320" w:top="900"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SIGNATURE OF AUTHORIZED UNITED STATES REPRESENTATIVE</w:t>
      </w:r>
    </w:p>
    <w:p>
      <w:pPr>
        <w:spacing w:after="0" w:line="229"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Pursuant to the Securities Act of 1933, as amended, the undersigned, the duly authorized representative in the United States of Sphere 3D Corp., has signed this registration statement or amendment thereto in the United States on October 10, 2024.</w:t>
      </w:r>
    </w:p>
    <w:p>
      <w:pPr>
        <w:spacing w:after="0" w:line="162" w:lineRule="exact"/>
        <w:rPr>
          <w:sz w:val="20"/>
          <w:szCs w:val="20"/>
          <w:color w:val="auto"/>
        </w:rPr>
      </w:pPr>
    </w:p>
    <w:tbl>
      <w:tblPr>
        <w:tblLayout w:type="fixed"/>
        <w:tblInd w:w="6760" w:type="dxa"/>
        <w:tblCellMar>
          <w:top w:w="0" w:type="dxa"/>
          <w:left w:w="0" w:type="dxa"/>
          <w:bottom w:w="0" w:type="dxa"/>
          <w:right w:w="0" w:type="dxa"/>
        </w:tblCellMar>
      </w:tblPr>
      <w:tr>
        <w:trPr>
          <w:trHeight w:val="24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Kurt L. Kalbfleisch</w:t>
            </w:r>
          </w:p>
        </w:tc>
      </w:tr>
      <w:tr>
        <w:trPr>
          <w:trHeight w:val="198"/>
        </w:trPr>
        <w:tc>
          <w:tcPr>
            <w:tcW w:w="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Kurt L. Kalbfleisch</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Amendment No. 4 to the Registration Statement on Form S-3 of our report dated March 13, 2024 with respect to the audited consolidated financial statements of Sphere 3D Corp. for the year ended December 31, 2023. Our report contains an explanatory paragraph regarding the Company’s ability to continue as a going concern.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consent to the references to us under the heading “Experts” in such Registration Statement.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MaloneBailey, LLP</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www.malonebailey.com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10, 2024</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lowerRoman"/>
      <w:start w:val="1"/>
    </w:lvl>
  </w:abstractNum>
  <w:abstractNum w:abstractNumId="2">
    <w:nsid w:val="2EB141F2"/>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1"/>
    </w:lvl>
  </w:abstractNum>
  <w:abstractNum w:abstractNumId="3">
    <w:nsid w:val="41B71EFB"/>
    <w:multiLevelType w:val="hybridMultilevel"/>
    <w:lvl w:ilvl="0">
      <w:lvlJc w:val="left"/>
      <w:lvlText w:val="(%1)"/>
      <w:numFmt w:val="decimal"/>
      <w:start w:val="2"/>
    </w:lvl>
  </w:abstractNum>
  <w:abstractNum w:abstractNumId="4">
    <w:nsid w:val="79E2A9E3"/>
    <w:multiLevelType w:val="hybridMultilevel"/>
    <w:lvl w:ilvl="0">
      <w:lvlJc w:val="left"/>
      <w:lvlText w:val="(%1)"/>
      <w:numFmt w:val="decimal"/>
      <w:start w:val="4"/>
    </w:lvl>
    <w:lvl w:ilvl="1">
      <w:lvlJc w:val="left"/>
      <w:lvlText w:val="(%2)"/>
      <w:numFmt w:val="lowerRoman"/>
      <w:start w:val="1"/>
    </w:lvl>
  </w:abstractNum>
  <w:abstractNum w:abstractNumId="5">
    <w:nsid w:val="7545E146"/>
    <w:multiLevelType w:val="hybridMultilevel"/>
    <w:lvl w:ilvl="0">
      <w:lvlJc w:val="left"/>
      <w:lvlText w:val="%1"/>
      <w:numFmt w:val="upperLetter"/>
      <w:start w:val="1"/>
    </w:lvl>
    <w:lvl w:ilvl="1">
      <w:lvlJc w:val="left"/>
      <w:lvlText w:val="(%2)"/>
      <w:numFmt w:val="upperLetter"/>
      <w:start w:val="1"/>
    </w:lvl>
    <w:lvl w:ilvl="2">
      <w:lvlJc w:val="left"/>
      <w:lvlText w:val="(%3)"/>
      <w:numFmt w:val="lowerRoman"/>
      <w:start w:val="1"/>
    </w:lvl>
  </w:abstractNum>
  <w:abstractNum w:abstractNumId="6">
    <w:nsid w:val="515F007C"/>
    <w:multiLevelType w:val="hybridMultilevel"/>
    <w:lvl w:ilvl="0">
      <w:lvlJc w:val="left"/>
      <w:lvlText w:val="(%1)"/>
      <w:numFmt w:val="upperLetter"/>
      <w:start w:val="2"/>
    </w:lvl>
    <w:lvl w:ilvl="1">
      <w:lvlJc w:val="left"/>
      <w:lvlText w:val="%2"/>
      <w:numFmt w:val="upperLetter"/>
      <w:start w:val="1"/>
    </w:lvl>
    <w:lvl w:ilvl="2">
      <w:lvlJc w:val="left"/>
      <w:lvlText w:val="%3"/>
      <w:numFmt w:val="lowerRoman"/>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17" Type="http://schemas.openxmlformats.org/officeDocument/2006/relationships/hyperlink" Target="https://www.sec.gov/Archives/edgar/data/1591956/000106299316008927/exhibit4-1.htm" TargetMode="External"/><Relationship Id="rId18" Type="http://schemas.openxmlformats.org/officeDocument/2006/relationships/hyperlink" Target="http://www.sec.gov/Archives/edgar/data/1591956/000121390024040502/ea020534501ex5-1_sphere3d.htm" TargetMode="External"/><Relationship Id="rId19" Type="http://schemas.openxmlformats.org/officeDocument/2006/relationships/hyperlink" Target="http://www.sec.gov/Archives/edgar/data/1591956/000121390023009761/ea172872ex5-2_sphere3d.htm" TargetMode="External"/><Relationship Id="rId20" Type="http://schemas.openxmlformats.org/officeDocument/2006/relationships/hyperlink" Target="https://www.sec.gov/Archives/edgar/data/1591956/000101376224000843/ea020868801ex10-1_sphere3d.htm" TargetMode="External"/><Relationship Id="rId21" Type="http://schemas.openxmlformats.org/officeDocument/2006/relationships/hyperlink" Target="https://www.sec.gov/Archives/edgar/data/1591956/000101376224000843/ea020868801ex10-2_sphere3d.htm" TargetMode="External"/><Relationship Id="rId22" Type="http://schemas.openxmlformats.org/officeDocument/2006/relationships/hyperlink" Target="https://www.sec.gov/Archives/edgar/data/1591956/000101376224000843/ea020868801ex10-3_sphere3d.htm" TargetMode="External"/><Relationship Id="rId23" Type="http://schemas.openxmlformats.org/officeDocument/2006/relationships/hyperlink" Target="https://www.sec.gov/Archives/edgar/data/1591956/000101376224000843/ea020868801ex10-4_sphere3d.htm" TargetMode="External"/><Relationship Id="rId24" Type="http://schemas.openxmlformats.org/officeDocument/2006/relationships/hyperlink" Target="http://www.sec.gov/Archives/edgar/data/1591956/000121390023009761/ea172872-s3_sphere3d.htm#poa_001" TargetMode="External"/><Relationship Id="rId25" Type="http://schemas.openxmlformats.org/officeDocument/2006/relationships/hyperlink" Target="http://www.sec.gov/Archives/edgar/data/1591956/000121390023040613/ea178287ex-fee_sphere3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2024-10-10T09:34:25Z</dcterms:created>
  <dcterms:modified xsi:type="dcterms:W3CDTF">2024-10-10T09:34:25Z</dcterms:modified>
</cp:coreProperties>
</file>