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206375</wp:posOffset>
            </wp:positionH>
            <wp:positionV relativeFrom="page">
              <wp:posOffset>155575</wp:posOffset>
            </wp:positionV>
            <wp:extent cx="7153275" cy="298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3275" cy="2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Washington, D.C. 20549</w:t>
      </w:r>
    </w:p>
    <w:p>
      <w:pPr>
        <w:spacing w:after="0" w:line="16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FORM 6-K</w:t>
      </w: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REPORT OF FOREIGN PRIVATE ISSUER PURSUANT TO RULE 13a-16 OR 15d-16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UNDER THE SECURITIES EXCHANGE ACT OF 1934</w:t>
      </w:r>
    </w:p>
    <w:p>
      <w:pPr>
        <w:spacing w:after="0" w:line="18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 xml:space="preserve">For the month of </w:t>
      </w:r>
      <w:r>
        <w:rPr>
          <w:rFonts w:ascii="Arial" w:cs="Arial" w:eastAsia="Arial" w:hAnsi="Arial"/>
          <w:sz w:val="22"/>
          <w:szCs w:val="22"/>
          <w:b w:val="1"/>
          <w:bCs w:val="1"/>
          <w:u w:val="single" w:color="auto"/>
          <w:color w:val="auto"/>
        </w:rPr>
        <w:t>August 2021</w:t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 xml:space="preserve">Commission File Number: </w:t>
      </w:r>
      <w:r>
        <w:rPr>
          <w:rFonts w:ascii="Arial" w:cs="Arial" w:eastAsia="Arial" w:hAnsi="Arial"/>
          <w:sz w:val="22"/>
          <w:szCs w:val="22"/>
          <w:b w:val="1"/>
          <w:bCs w:val="1"/>
          <w:u w:val="single" w:color="auto"/>
          <w:color w:val="auto"/>
        </w:rPr>
        <w:t>001-36532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u w:val="single" w:color="auto"/>
          <w:color w:val="auto"/>
        </w:rPr>
        <w:t>SPHERE 3D CORP.</w:t>
      </w: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895 Don Mills Road, Bldg. 2, Suite 900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u w:val="single" w:color="auto"/>
          <w:color w:val="auto"/>
        </w:rPr>
        <w:t>Toronto, Ontario, M3C1W3, Canada</w:t>
      </w:r>
    </w:p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(Address of principal executive offices)</w:t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Indicate by check mark whether the registrant files or will file annual reports under cover of Form 20-F or Form 40-F:</w:t>
      </w:r>
    </w:p>
    <w:p>
      <w:pPr>
        <w:spacing w:after="0" w:line="19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 w:line="253" w:lineRule="exact"/>
        <w:tabs>
          <w:tab w:leader="none" w:pos="6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 xml:space="preserve">Form 20-F </w:t>
      </w:r>
      <w:r>
        <w:rPr>
          <w:rFonts w:ascii="MS PGothic" w:cs="MS PGothic" w:eastAsia="MS PGothic" w:hAnsi="MS PGothic"/>
          <w:sz w:val="22"/>
          <w:szCs w:val="22"/>
          <w:color w:val="auto"/>
        </w:rPr>
        <w:t>☒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 xml:space="preserve">Form 40-F </w:t>
      </w:r>
      <w:r>
        <w:rPr>
          <w:rFonts w:ascii="MS PGothic" w:cs="MS PGothic" w:eastAsia="MS PGothic" w:hAnsi="MS PGothic"/>
          <w:sz w:val="19"/>
          <w:szCs w:val="19"/>
          <w:color w:val="auto"/>
        </w:rPr>
        <w:t>☐</w:t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jc w:val="center"/>
        <w:ind w:right="200"/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 xml:space="preserve">Indicate by check mark if the registrant is submitting the Form 6-K in paper as permitted by Regulation S-T Rule 101(b)(1): </w:t>
      </w:r>
      <w:r>
        <w:rPr>
          <w:rFonts w:ascii="MS PGothic" w:cs="MS PGothic" w:eastAsia="MS PGothic" w:hAnsi="MS PGothic"/>
          <w:sz w:val="19"/>
          <w:szCs w:val="19"/>
          <w:color w:val="auto"/>
        </w:rPr>
        <w:t>☐</w:t>
      </w: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jc w:val="center"/>
        <w:ind w:right="200"/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 xml:space="preserve">Indicate by check mark if the registrant is submitting the Form 6-K in paper as permitted by Regulation S-T Rule 101(b)(7): </w:t>
      </w:r>
      <w:r>
        <w:rPr>
          <w:rFonts w:ascii="MS PGothic" w:cs="MS PGothic" w:eastAsia="MS PGothic" w:hAnsi="MS PGothic"/>
          <w:sz w:val="19"/>
          <w:szCs w:val="19"/>
          <w:color w:val="auto"/>
        </w:rPr>
        <w:t>☐</w:t>
      </w: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The information contained in this Form 6-K is incorporated by reference into, or as additional exhibits to, as applicable, the registrant's outstanding registration statements.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122555</wp:posOffset>
            </wp:positionV>
            <wp:extent cx="7153275" cy="469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3275" cy="46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240"/>
          </w:cols>
          <w:pgMar w:left="320" w:top="463" w:right="339" w:bottom="1440" w:gutter="0" w:footer="0" w:header="0"/>
        </w:sectPr>
      </w:pPr>
    </w:p>
    <w:bookmarkStart w:id="1" w:name="page2"/>
    <w:bookmarkEnd w:id="1"/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u w:val="single" w:color="auto"/>
          <w:color w:val="auto"/>
        </w:rPr>
        <w:t>SUBMITTED HEREWITH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Exhibits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left="420"/>
        <w:spacing w:after="0"/>
        <w:tabs>
          <w:tab w:leader="none" w:pos="1160" w:val="left"/>
        </w:tabs>
        <w:rPr>
          <w:rFonts w:ascii="Arial" w:cs="Arial" w:eastAsia="Arial" w:hAnsi="Arial"/>
          <w:sz w:val="16"/>
          <w:szCs w:val="16"/>
          <w:u w:val="single" w:color="auto"/>
          <w:color w:val="0000EE"/>
        </w:rPr>
      </w:pPr>
      <w:hyperlink w:anchor="page3">
        <w:r>
          <w:rPr>
            <w:rFonts w:ascii="Arial" w:cs="Arial" w:eastAsia="Arial" w:hAnsi="Arial"/>
            <w:sz w:val="18"/>
            <w:szCs w:val="18"/>
            <w:u w:val="single" w:color="auto"/>
            <w:color w:val="0000EE"/>
          </w:rPr>
          <w:t>99.1</w:t>
        </w:r>
      </w:hyperlink>
      <w:r>
        <w:rPr>
          <w:rFonts w:ascii="Arial" w:cs="Arial" w:eastAsia="Arial" w:hAnsi="Arial"/>
          <w:sz w:val="18"/>
          <w:szCs w:val="18"/>
          <w:u w:val="single" w:color="auto"/>
          <w:color w:val="0000EE"/>
        </w:rPr>
        <w:tab/>
      </w:r>
      <w:hyperlink w:anchor="page3">
        <w:r>
          <w:rPr>
            <w:rFonts w:ascii="Arial" w:cs="Arial" w:eastAsia="Arial" w:hAnsi="Arial"/>
            <w:sz w:val="16"/>
            <w:szCs w:val="16"/>
            <w:u w:val="single" w:color="auto"/>
            <w:color w:val="0000EE"/>
          </w:rPr>
          <w:t>News Release dated August 16, 2021</w:t>
        </w:r>
      </w:hyperlink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-121920</wp:posOffset>
            </wp:positionV>
            <wp:extent cx="7132320" cy="137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2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u w:val="single" w:color="auto"/>
          <w:color w:val="auto"/>
        </w:rPr>
        <w:t>SIGNATURE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right="6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7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4"/>
        </w:trPr>
        <w:tc>
          <w:tcPr>
            <w:tcW w:w="5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SPHERE 3D CORP.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864"/>
        </w:trPr>
        <w:tc>
          <w:tcPr>
            <w:tcW w:w="5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Date: August 16, 2021</w:t>
            </w:r>
          </w:p>
        </w:tc>
        <w:tc>
          <w:tcPr>
            <w:tcW w:w="556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/s/ Peter Tassiopoulos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95"/>
        </w:trPr>
        <w:tc>
          <w:tcPr>
            <w:tcW w:w="5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560" w:type="dxa"/>
            <w:vAlign w:val="bottom"/>
          </w:tcPr>
          <w:p>
            <w:pPr>
              <w:ind w:left="6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Name: Peter Tassiopoulos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30"/>
        </w:trPr>
        <w:tc>
          <w:tcPr>
            <w:tcW w:w="5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Title: Chief Executive Officer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348"/>
        </w:trPr>
        <w:tc>
          <w:tcPr>
            <w:tcW w:w="5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74"/>
        </w:trPr>
        <w:tc>
          <w:tcPr>
            <w:tcW w:w="5680" w:type="dxa"/>
            <w:vAlign w:val="bottom"/>
            <w:shd w:val="clear" w:color="auto" w:fill="00000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560" w:type="dxa"/>
            <w:vAlign w:val="bottom"/>
            <w:shd w:val="clear" w:color="auto" w:fill="00000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00000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280"/>
          </w:cols>
          <w:pgMar w:left="320" w:top="111" w:right="299" w:bottom="1440" w:gutter="0" w:footer="0" w:header="0"/>
        </w:sectPr>
      </w:pPr>
    </w:p>
    <w:bookmarkStart w:id="2" w:name="page3"/>
    <w:bookmarkEnd w:id="2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206375</wp:posOffset>
            </wp:positionH>
            <wp:positionV relativeFrom="page">
              <wp:posOffset>88900</wp:posOffset>
            </wp:positionV>
            <wp:extent cx="7153275" cy="279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3275" cy="27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Exhibit 99.1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147955</wp:posOffset>
            </wp:positionV>
            <wp:extent cx="1851660" cy="9347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1660" cy="934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Sphere 3D Reports Second Quarter Fiscal Year 2021 Financial Results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 xml:space="preserve">Toronto, Ontario </w:t>
      </w:r>
      <w:r>
        <w:rPr>
          <w:rFonts w:ascii="Arial" w:cs="Arial" w:eastAsia="Arial" w:hAnsi="Arial"/>
          <w:sz w:val="22"/>
          <w:szCs w:val="22"/>
          <w:color w:val="auto"/>
        </w:rPr>
        <w:t>- August 16, 2021 - Sphere 3D Corp. (NASDAQ: ANY) (the "Company" or "Sphere 3D"), a company</w:t>
      </w: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 xml:space="preserve"> </w:t>
      </w:r>
      <w:r>
        <w:rPr>
          <w:rFonts w:ascii="Arial" w:cs="Arial" w:eastAsia="Arial" w:hAnsi="Arial"/>
          <w:sz w:val="22"/>
          <w:szCs w:val="22"/>
          <w:color w:val="auto"/>
        </w:rPr>
        <w:t>delivering containerization, virtualization, and data management solutions, today reported financial results for its second quarter ended June 30, 2021.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Second Quarter 2021 Financial Results: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Our results for second quarter 2021 were as follows: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320" w:hanging="312"/>
        <w:spacing w:after="0"/>
        <w:tabs>
          <w:tab w:leader="none" w:pos="320" w:val="left"/>
        </w:tabs>
        <w:numPr>
          <w:ilvl w:val="0"/>
          <w:numId w:val="1"/>
        </w:numPr>
        <w:rPr>
          <w:rFonts w:ascii="Arial" w:cs="Arial" w:eastAsia="Arial" w:hAnsi="Arial"/>
          <w:sz w:val="22"/>
          <w:szCs w:val="22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Revenue was $0.9 million in the both the second quarters of 2021 and 2020.</w:t>
      </w:r>
    </w:p>
    <w:p>
      <w:pPr>
        <w:spacing w:after="0" w:line="206" w:lineRule="exact"/>
        <w:rPr>
          <w:rFonts w:ascii="Arial" w:cs="Arial" w:eastAsia="Arial" w:hAnsi="Arial"/>
          <w:sz w:val="22"/>
          <w:szCs w:val="22"/>
          <w:color w:val="auto"/>
        </w:rPr>
      </w:pPr>
    </w:p>
    <w:p>
      <w:pPr>
        <w:ind w:left="320" w:hanging="312"/>
        <w:spacing w:after="0"/>
        <w:tabs>
          <w:tab w:leader="none" w:pos="320" w:val="left"/>
        </w:tabs>
        <w:numPr>
          <w:ilvl w:val="0"/>
          <w:numId w:val="1"/>
        </w:numPr>
        <w:rPr>
          <w:rFonts w:ascii="Arial" w:cs="Arial" w:eastAsia="Arial" w:hAnsi="Arial"/>
          <w:sz w:val="22"/>
          <w:szCs w:val="22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Gross margin for second quarter of 2021 was 43.7%, compared to 49.6% for the second quarter of 2020.</w:t>
      </w:r>
    </w:p>
    <w:p>
      <w:pPr>
        <w:spacing w:after="0" w:line="206" w:lineRule="exact"/>
        <w:rPr>
          <w:rFonts w:ascii="Arial" w:cs="Arial" w:eastAsia="Arial" w:hAnsi="Arial"/>
          <w:sz w:val="22"/>
          <w:szCs w:val="22"/>
          <w:color w:val="auto"/>
        </w:rPr>
      </w:pPr>
    </w:p>
    <w:p>
      <w:pPr>
        <w:ind w:left="320" w:hanging="312"/>
        <w:spacing w:after="0"/>
        <w:tabs>
          <w:tab w:leader="none" w:pos="320" w:val="left"/>
        </w:tabs>
        <w:numPr>
          <w:ilvl w:val="0"/>
          <w:numId w:val="1"/>
        </w:numPr>
        <w:rPr>
          <w:rFonts w:ascii="Arial" w:cs="Arial" w:eastAsia="Arial" w:hAnsi="Arial"/>
          <w:sz w:val="19"/>
          <w:szCs w:val="19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Operating expenses for second quarter of 2021 were $3.9 million, compared to $2.4 million for the second quarter of 2020.</w:t>
      </w:r>
    </w:p>
    <w:p>
      <w:pPr>
        <w:spacing w:after="0" w:line="240" w:lineRule="exact"/>
        <w:rPr>
          <w:rFonts w:ascii="Arial" w:cs="Arial" w:eastAsia="Arial" w:hAnsi="Arial"/>
          <w:sz w:val="19"/>
          <w:szCs w:val="19"/>
          <w:color w:val="auto"/>
        </w:rPr>
      </w:pPr>
    </w:p>
    <w:p>
      <w:pPr>
        <w:ind w:left="320" w:hanging="312"/>
        <w:spacing w:after="0"/>
        <w:tabs>
          <w:tab w:leader="none" w:pos="320" w:val="left"/>
        </w:tabs>
        <w:numPr>
          <w:ilvl w:val="0"/>
          <w:numId w:val="1"/>
        </w:numPr>
        <w:rPr>
          <w:rFonts w:ascii="Arial" w:cs="Arial" w:eastAsia="Arial" w:hAnsi="Arial"/>
          <w:sz w:val="22"/>
          <w:szCs w:val="22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Depreciation and amortization was $0.2 million for both the second quarter of 2021 and 2020.</w:t>
      </w:r>
    </w:p>
    <w:p>
      <w:pPr>
        <w:spacing w:after="0" w:line="206" w:lineRule="exact"/>
        <w:rPr>
          <w:rFonts w:ascii="Arial" w:cs="Arial" w:eastAsia="Arial" w:hAnsi="Arial"/>
          <w:sz w:val="22"/>
          <w:szCs w:val="22"/>
          <w:color w:val="auto"/>
        </w:rPr>
      </w:pPr>
    </w:p>
    <w:p>
      <w:pPr>
        <w:jc w:val="both"/>
        <w:ind w:left="340" w:hanging="332"/>
        <w:spacing w:after="0"/>
        <w:tabs>
          <w:tab w:leader="none" w:pos="331" w:val="left"/>
        </w:tabs>
        <w:numPr>
          <w:ilvl w:val="0"/>
          <w:numId w:val="1"/>
        </w:numPr>
        <w:rPr>
          <w:rFonts w:ascii="Arial" w:cs="Arial" w:eastAsia="Arial" w:hAnsi="Arial"/>
          <w:sz w:val="22"/>
          <w:szCs w:val="22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Net loss available to common shareholders for second quarter of 2021 was $3.0 million, or a net loss of $0.19 per share, compared to a net loss available to common shareholders of $1.9 million, or a net loss of $0.41 per share, for the second quarter of 2020.</w:t>
      </w:r>
    </w:p>
    <w:p>
      <w:pPr>
        <w:spacing w:after="0" w:line="186" w:lineRule="exact"/>
        <w:rPr>
          <w:rFonts w:ascii="Arial" w:cs="Arial" w:eastAsia="Arial" w:hAnsi="Arial"/>
          <w:sz w:val="22"/>
          <w:szCs w:val="22"/>
          <w:color w:val="auto"/>
        </w:rPr>
      </w:pPr>
    </w:p>
    <w:p>
      <w:pPr>
        <w:ind w:left="320" w:hanging="312"/>
        <w:spacing w:after="0"/>
        <w:tabs>
          <w:tab w:leader="none" w:pos="320" w:val="left"/>
        </w:tabs>
        <w:numPr>
          <w:ilvl w:val="0"/>
          <w:numId w:val="1"/>
        </w:numPr>
        <w:rPr>
          <w:rFonts w:ascii="Arial" w:cs="Arial" w:eastAsia="Arial" w:hAnsi="Arial"/>
          <w:sz w:val="22"/>
          <w:szCs w:val="22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Net loss, before dividends on preferred shares, for the second quarter of 2021 was $2.9 million.</w:t>
      </w:r>
    </w:p>
    <w:p>
      <w:pPr>
        <w:spacing w:after="0" w:line="206" w:lineRule="exact"/>
        <w:rPr>
          <w:rFonts w:ascii="Arial" w:cs="Arial" w:eastAsia="Arial" w:hAnsi="Arial"/>
          <w:sz w:val="22"/>
          <w:szCs w:val="22"/>
          <w:color w:val="auto"/>
        </w:rPr>
      </w:pPr>
    </w:p>
    <w:p>
      <w:pPr>
        <w:ind w:left="320" w:hanging="312"/>
        <w:spacing w:after="0"/>
        <w:tabs>
          <w:tab w:leader="none" w:pos="320" w:val="left"/>
        </w:tabs>
        <w:numPr>
          <w:ilvl w:val="0"/>
          <w:numId w:val="1"/>
        </w:numPr>
        <w:rPr>
          <w:rFonts w:ascii="Arial" w:cs="Arial" w:eastAsia="Arial" w:hAnsi="Arial"/>
          <w:sz w:val="19"/>
          <w:szCs w:val="19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Dividends on preferred shares for the second quarter of 2021 was $169,000 compared to nil for the second quarter of 2020.</w:t>
      </w: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Six Months Ended June 30, 2021 Financial Results: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ind w:left="320" w:hanging="312"/>
        <w:spacing w:after="0"/>
        <w:tabs>
          <w:tab w:leader="none" w:pos="320" w:val="left"/>
        </w:tabs>
        <w:numPr>
          <w:ilvl w:val="0"/>
          <w:numId w:val="2"/>
        </w:numPr>
        <w:rPr>
          <w:rFonts w:ascii="Arial" w:cs="Arial" w:eastAsia="Arial" w:hAnsi="Arial"/>
          <w:sz w:val="21"/>
          <w:szCs w:val="21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Revenue for the first six months of 2021 was $1.8 million, compared to $1.9 million for the first six months of 2020.</w:t>
      </w:r>
    </w:p>
    <w:p>
      <w:pPr>
        <w:spacing w:after="0" w:line="199" w:lineRule="exact"/>
        <w:rPr>
          <w:rFonts w:ascii="Arial" w:cs="Arial" w:eastAsia="Arial" w:hAnsi="Arial"/>
          <w:sz w:val="21"/>
          <w:szCs w:val="21"/>
          <w:color w:val="auto"/>
        </w:rPr>
      </w:pPr>
    </w:p>
    <w:p>
      <w:pPr>
        <w:ind w:left="320" w:hanging="312"/>
        <w:spacing w:after="0"/>
        <w:tabs>
          <w:tab w:leader="none" w:pos="320" w:val="left"/>
        </w:tabs>
        <w:numPr>
          <w:ilvl w:val="0"/>
          <w:numId w:val="2"/>
        </w:numPr>
        <w:rPr>
          <w:rFonts w:ascii="Arial" w:cs="Arial" w:eastAsia="Arial" w:hAnsi="Arial"/>
          <w:sz w:val="22"/>
          <w:szCs w:val="22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Gross margin for the first six months of 2021 was 44.8%, compared to 47.6% for the first six months of 2020.</w:t>
      </w:r>
    </w:p>
    <w:p>
      <w:pPr>
        <w:spacing w:after="0" w:line="206" w:lineRule="exact"/>
        <w:rPr>
          <w:rFonts w:ascii="Arial" w:cs="Arial" w:eastAsia="Arial" w:hAnsi="Arial"/>
          <w:sz w:val="22"/>
          <w:szCs w:val="22"/>
          <w:color w:val="auto"/>
        </w:rPr>
      </w:pPr>
    </w:p>
    <w:p>
      <w:pPr>
        <w:ind w:left="340" w:hanging="332"/>
        <w:spacing w:after="0" w:line="250" w:lineRule="auto"/>
        <w:tabs>
          <w:tab w:leader="none" w:pos="331" w:val="left"/>
        </w:tabs>
        <w:numPr>
          <w:ilvl w:val="0"/>
          <w:numId w:val="2"/>
        </w:numPr>
        <w:rPr>
          <w:rFonts w:ascii="Arial" w:cs="Arial" w:eastAsia="Arial" w:hAnsi="Arial"/>
          <w:sz w:val="22"/>
          <w:szCs w:val="22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Operating expenses for the first six months of 2021 were $5.6 million, compared to $4.0 million for the first six months of 2020.</w:t>
      </w:r>
    </w:p>
    <w:p>
      <w:pPr>
        <w:spacing w:after="0" w:line="174" w:lineRule="exact"/>
        <w:rPr>
          <w:rFonts w:ascii="Arial" w:cs="Arial" w:eastAsia="Arial" w:hAnsi="Arial"/>
          <w:sz w:val="22"/>
          <w:szCs w:val="22"/>
          <w:color w:val="auto"/>
        </w:rPr>
      </w:pPr>
    </w:p>
    <w:p>
      <w:pPr>
        <w:ind w:left="340" w:hanging="332"/>
        <w:spacing w:after="0" w:line="250" w:lineRule="auto"/>
        <w:tabs>
          <w:tab w:leader="none" w:pos="331" w:val="left"/>
        </w:tabs>
        <w:numPr>
          <w:ilvl w:val="0"/>
          <w:numId w:val="2"/>
        </w:numPr>
        <w:rPr>
          <w:rFonts w:ascii="Arial" w:cs="Arial" w:eastAsia="Arial" w:hAnsi="Arial"/>
          <w:sz w:val="22"/>
          <w:szCs w:val="22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Depreciation and amortization for the first six months of 2021 was $0.3 million, compared to $0.5 million in the first six months of 2020.</w:t>
      </w:r>
    </w:p>
    <w:p>
      <w:pPr>
        <w:spacing w:after="0" w:line="174" w:lineRule="exact"/>
        <w:rPr>
          <w:rFonts w:ascii="Arial" w:cs="Arial" w:eastAsia="Arial" w:hAnsi="Arial"/>
          <w:sz w:val="22"/>
          <w:szCs w:val="22"/>
          <w:color w:val="auto"/>
        </w:rPr>
      </w:pPr>
    </w:p>
    <w:p>
      <w:pPr>
        <w:jc w:val="both"/>
        <w:ind w:left="340" w:hanging="332"/>
        <w:spacing w:after="0"/>
        <w:tabs>
          <w:tab w:leader="none" w:pos="331" w:val="left"/>
        </w:tabs>
        <w:numPr>
          <w:ilvl w:val="0"/>
          <w:numId w:val="2"/>
        </w:numPr>
        <w:rPr>
          <w:rFonts w:ascii="Arial" w:cs="Arial" w:eastAsia="Arial" w:hAnsi="Arial"/>
          <w:sz w:val="22"/>
          <w:szCs w:val="22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Net loss available to common shareholders for the first six months of 2021 was $5.6 million, or a net loss of $0.44 per share, compared to a net loss available to common shareholders of $3.0 million, or a net loss of $0.70 per share, in the first six months of 2020.</w:t>
      </w:r>
    </w:p>
    <w:p>
      <w:pPr>
        <w:spacing w:after="0" w:line="186" w:lineRule="exact"/>
        <w:rPr>
          <w:rFonts w:ascii="Arial" w:cs="Arial" w:eastAsia="Arial" w:hAnsi="Arial"/>
          <w:sz w:val="22"/>
          <w:szCs w:val="22"/>
          <w:color w:val="auto"/>
        </w:rPr>
      </w:pPr>
    </w:p>
    <w:p>
      <w:pPr>
        <w:ind w:left="320" w:hanging="312"/>
        <w:spacing w:after="0"/>
        <w:tabs>
          <w:tab w:leader="none" w:pos="320" w:val="left"/>
        </w:tabs>
        <w:numPr>
          <w:ilvl w:val="0"/>
          <w:numId w:val="2"/>
        </w:numPr>
        <w:rPr>
          <w:rFonts w:ascii="Arial" w:cs="Arial" w:eastAsia="Arial" w:hAnsi="Arial"/>
          <w:sz w:val="22"/>
          <w:szCs w:val="22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Net loss, before dividends on preferred shares, for the first six months of 2021 was $5.3 million.</w:t>
      </w:r>
    </w:p>
    <w:p>
      <w:pPr>
        <w:spacing w:after="0" w:line="206" w:lineRule="exact"/>
        <w:rPr>
          <w:rFonts w:ascii="Arial" w:cs="Arial" w:eastAsia="Arial" w:hAnsi="Arial"/>
          <w:sz w:val="22"/>
          <w:szCs w:val="22"/>
          <w:color w:val="auto"/>
        </w:rPr>
      </w:pPr>
    </w:p>
    <w:p>
      <w:pPr>
        <w:ind w:left="320" w:hanging="312"/>
        <w:spacing w:after="0"/>
        <w:tabs>
          <w:tab w:leader="none" w:pos="320" w:val="left"/>
        </w:tabs>
        <w:numPr>
          <w:ilvl w:val="0"/>
          <w:numId w:val="2"/>
        </w:numPr>
        <w:rPr>
          <w:rFonts w:ascii="Arial" w:cs="Arial" w:eastAsia="Arial" w:hAnsi="Arial"/>
          <w:sz w:val="19"/>
          <w:szCs w:val="19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Dividends on preferred shares for the first six months of 2021 was $362,000 compared to nil for the first six months of 2020.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164465</wp:posOffset>
            </wp:positionV>
            <wp:extent cx="7153275" cy="469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3275" cy="46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240"/>
          </w:cols>
          <w:pgMar w:left="320" w:top="369" w:right="339" w:bottom="1440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Investor Conference Call: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Sphere 3D will not be hosting a second quarter fiscal year 2021 earnings conference call.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About Sphere 3D: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both"/>
        <w:spacing w:after="0" w:line="28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 xml:space="preserve">Sphere 3D Corp. (NASDAQ: ANY) delivers containerization, virtualization, and data management solutions via hybrid cloud, cloud and on-premise implementations through its global reseller network and professional services organization. Sphere 3D has a portfolio of brands, including HVE ConneXions, UCX ConneXions, and SnapServer® dedicated to helping customers achieve their IT goals. For more information, visit www.sphere3d.com. Follow us on Twitter </w:t>
      </w:r>
      <w:r>
        <w:rPr>
          <w:rFonts w:ascii="Arial" w:cs="Arial" w:eastAsia="Arial" w:hAnsi="Arial"/>
          <w:sz w:val="19"/>
          <w:szCs w:val="19"/>
          <w:i w:val="1"/>
          <w:iCs w:val="1"/>
          <w:u w:val="single" w:color="auto"/>
          <w:color w:val="auto"/>
        </w:rPr>
        <w:t>@Sphere3D</w:t>
      </w:r>
      <w:r>
        <w:rPr>
          <w:rFonts w:ascii="Arial" w:cs="Arial" w:eastAsia="Arial" w:hAnsi="Arial"/>
          <w:sz w:val="19"/>
          <w:szCs w:val="19"/>
          <w:color w:val="auto"/>
        </w:rPr>
        <w:t xml:space="preserve"> </w:t>
      </w:r>
      <w:r>
        <w:rPr>
          <w:rFonts w:ascii="Arial" w:cs="Arial" w:eastAsia="Arial" w:hAnsi="Arial"/>
          <w:sz w:val="19"/>
          <w:szCs w:val="19"/>
          <w:u w:val="single" w:color="auto"/>
          <w:color w:val="auto"/>
        </w:rPr>
        <w:t>and</w:t>
      </w:r>
      <w:r>
        <w:rPr>
          <w:rFonts w:ascii="Arial" w:cs="Arial" w:eastAsia="Arial" w:hAnsi="Arial"/>
          <w:sz w:val="19"/>
          <w:szCs w:val="19"/>
          <w:color w:val="auto"/>
        </w:rPr>
        <w:t xml:space="preserve"> </w:t>
      </w:r>
      <w:r>
        <w:rPr>
          <w:rFonts w:ascii="Arial" w:cs="Arial" w:eastAsia="Arial" w:hAnsi="Arial"/>
          <w:sz w:val="19"/>
          <w:szCs w:val="19"/>
          <w:i w:val="1"/>
          <w:iCs w:val="1"/>
          <w:u w:val="single" w:color="auto"/>
          <w:color w:val="auto"/>
        </w:rPr>
        <w:t>@HVEconneXions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Safe Harbor Statement: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This press release contains forward-looking statements that involve risks, uncertainties, and assumptions that are difficult to predict. Actual results and the timing of events could differ materially from those anticipated in such forward-looking statements as a result of risks and uncertainties including, without limitation, our inability to obtain additional debt or equity financing; any increase in our cash needs; the Company's ability to maintain listing with the NASDAQ Capital Market; market adoption and performance of our products; the level of success of our collaborations and business partnerships; possible actions by customers, partners, suppliers, competitors or regulatory authorities; and other risks detailed from time to time in our periodic reports and other filings with the United States Securities and Exchange Commission (</w:t>
      </w:r>
      <w:r>
        <w:rPr>
          <w:rFonts w:ascii="Arial" w:cs="Arial" w:eastAsia="Arial" w:hAnsi="Arial"/>
          <w:sz w:val="21"/>
          <w:szCs w:val="21"/>
          <w:u w:val="single" w:color="auto"/>
          <w:color w:val="auto"/>
        </w:rPr>
        <w:t>www.sec.gov</w:t>
      </w:r>
      <w:r>
        <w:rPr>
          <w:rFonts w:ascii="Arial" w:cs="Arial" w:eastAsia="Arial" w:hAnsi="Arial"/>
          <w:sz w:val="21"/>
          <w:szCs w:val="21"/>
          <w:color w:val="auto"/>
        </w:rPr>
        <w:t>) and with Canadian securities regulators (</w:t>
      </w:r>
      <w:r>
        <w:rPr>
          <w:rFonts w:ascii="Arial" w:cs="Arial" w:eastAsia="Arial" w:hAnsi="Arial"/>
          <w:sz w:val="21"/>
          <w:szCs w:val="21"/>
          <w:u w:val="single" w:color="auto"/>
          <w:color w:val="auto"/>
        </w:rPr>
        <w:t>www.sedar.com</w:t>
      </w:r>
      <w:r>
        <w:rPr>
          <w:rFonts w:ascii="Arial" w:cs="Arial" w:eastAsia="Arial" w:hAnsi="Arial"/>
          <w:sz w:val="21"/>
          <w:szCs w:val="21"/>
          <w:color w:val="auto"/>
        </w:rPr>
        <w:t>). Sphere 3D undertakes no obligation to update any forward-looking statement, whether written or oral, that may be made from time to time, whether as a result of new information, future developments or otherwise, except as required by law.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Investor Contact: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Kurt Kalbfleisch</w:t>
      </w:r>
    </w:p>
    <w:p>
      <w:pPr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+1-858-495-4211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Investor.relations@sphere3d.com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422275</wp:posOffset>
            </wp:positionV>
            <wp:extent cx="7153275" cy="469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3275" cy="46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240"/>
          </w:cols>
          <w:pgMar w:left="320" w:top="112" w:right="339" w:bottom="1440" w:gutter="0" w:footer="0" w:header="0"/>
        </w:sectPr>
      </w:pPr>
    </w:p>
    <w:bookmarkStart w:id="4" w:name="page5"/>
    <w:bookmarkEnd w:id="4"/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SPHERE 3D CORP.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CONDENSED CONSOLIDATED STATEMENTS OF OPERATIONS</w:t>
      </w: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i w:val="1"/>
          <w:iCs w:val="1"/>
          <w:color w:val="auto"/>
        </w:rPr>
        <w:t>(In thousands, except share and per share data)</w:t>
      </w:r>
    </w:p>
    <w:p>
      <w:pPr>
        <w:spacing w:after="0" w:line="19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5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jc w:val="center"/>
              <w:ind w:righ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2"/>
              </w:rPr>
              <w:t>Three Months Ended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20" w:type="dxa"/>
            <w:vAlign w:val="bottom"/>
            <w:gridSpan w:val="6"/>
          </w:tcPr>
          <w:p>
            <w:pPr>
              <w:jc w:val="center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0"/>
              </w:rPr>
              <w:t>Six Months Ended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34"/>
        </w:trPr>
        <w:tc>
          <w:tcPr>
            <w:tcW w:w="5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jc w:val="center"/>
              <w:ind w:left="4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88"/>
              </w:rPr>
              <w:t>June 30,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jc w:val="center"/>
              <w:ind w:left="5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88"/>
              </w:rPr>
              <w:t>June 30,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09"/>
        </w:trPr>
        <w:tc>
          <w:tcPr>
            <w:tcW w:w="5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2021</w:t>
            </w: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4"/>
              </w:rPr>
              <w:t>2020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2021</w:t>
            </w: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4"/>
              </w:rPr>
              <w:t>2020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09"/>
        </w:trPr>
        <w:tc>
          <w:tcPr>
            <w:tcW w:w="5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(Unaudited)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(Unaudited)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16"/>
        </w:trPr>
        <w:tc>
          <w:tcPr>
            <w:tcW w:w="5600" w:type="dxa"/>
            <w:vAlign w:val="bottom"/>
            <w:shd w:val="clear" w:color="auto" w:fill="E6EF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Revenue..............................................................................................................</w:t>
            </w:r>
          </w:p>
        </w:tc>
        <w:tc>
          <w:tcPr>
            <w:tcW w:w="120" w:type="dxa"/>
            <w:vAlign w:val="bottom"/>
            <w:shd w:val="clear" w:color="auto" w:fill="E6EF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71"/>
              </w:rPr>
              <w:t>$</w:t>
            </w:r>
          </w:p>
        </w:tc>
        <w:tc>
          <w:tcPr>
            <w:tcW w:w="140" w:type="dxa"/>
            <w:vAlign w:val="bottom"/>
            <w:shd w:val="clear" w:color="auto" w:fill="E6EF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shd w:val="clear" w:color="auto" w:fill="E6EFFF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894</w:t>
            </w:r>
          </w:p>
        </w:tc>
        <w:tc>
          <w:tcPr>
            <w:tcW w:w="200" w:type="dxa"/>
            <w:vAlign w:val="bottom"/>
            <w:shd w:val="clear" w:color="auto" w:fill="E6EF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</w:p>
        </w:tc>
        <w:tc>
          <w:tcPr>
            <w:tcW w:w="340" w:type="dxa"/>
            <w:vAlign w:val="bottom"/>
            <w:shd w:val="clear" w:color="auto" w:fill="E6EF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shd w:val="clear" w:color="auto" w:fill="E6EFFF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891</w:t>
            </w:r>
          </w:p>
        </w:tc>
        <w:tc>
          <w:tcPr>
            <w:tcW w:w="120" w:type="dxa"/>
            <w:vAlign w:val="bottom"/>
            <w:shd w:val="clear" w:color="auto" w:fill="E6EF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79"/>
              </w:rPr>
              <w:t>$</w:t>
            </w:r>
          </w:p>
        </w:tc>
        <w:tc>
          <w:tcPr>
            <w:tcW w:w="1220" w:type="dxa"/>
            <w:vAlign w:val="bottom"/>
            <w:gridSpan w:val="2"/>
            <w:shd w:val="clear" w:color="auto" w:fill="E6EFFF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1,834</w:t>
            </w:r>
          </w:p>
        </w:tc>
        <w:tc>
          <w:tcPr>
            <w:tcW w:w="200" w:type="dxa"/>
            <w:vAlign w:val="bottom"/>
            <w:shd w:val="clear" w:color="auto" w:fill="E6EF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</w:p>
        </w:tc>
        <w:tc>
          <w:tcPr>
            <w:tcW w:w="320" w:type="dxa"/>
            <w:vAlign w:val="bottom"/>
            <w:shd w:val="clear" w:color="auto" w:fill="E6EF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shd w:val="clear" w:color="auto" w:fill="E6EFFF"/>
          </w:tcPr>
          <w:p>
            <w:pPr>
              <w:jc w:val="right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1,901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16"/>
        </w:trPr>
        <w:tc>
          <w:tcPr>
            <w:tcW w:w="5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Cost of revenue..................................................................................................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503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449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1,012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996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09"/>
        </w:trPr>
        <w:tc>
          <w:tcPr>
            <w:tcW w:w="5600" w:type="dxa"/>
            <w:vAlign w:val="bottom"/>
            <w:tcBorders>
              <w:top w:val="single" w:sz="8" w:color="E6EFFF"/>
            </w:tcBorders>
            <w:shd w:val="clear" w:color="auto" w:fill="E6EF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........................................................................................................Grossprofit</w:t>
            </w:r>
          </w:p>
        </w:tc>
        <w:tc>
          <w:tcPr>
            <w:tcW w:w="120" w:type="dxa"/>
            <w:vAlign w:val="bottom"/>
            <w:tcBorders>
              <w:top w:val="single" w:sz="8" w:color="E6EFFF"/>
            </w:tcBorders>
            <w:shd w:val="clear" w:color="auto" w:fill="E6EF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6EF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6EF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391</w:t>
            </w:r>
          </w:p>
        </w:tc>
        <w:tc>
          <w:tcPr>
            <w:tcW w:w="100" w:type="dxa"/>
            <w:vAlign w:val="bottom"/>
            <w:tcBorders>
              <w:top w:val="single" w:sz="8" w:color="E6EFFF"/>
            </w:tcBorders>
            <w:shd w:val="clear" w:color="auto" w:fill="E6EF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6EFFF"/>
            </w:tcBorders>
            <w:shd w:val="clear" w:color="auto" w:fill="E6EF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6EF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6EF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442</w:t>
            </w:r>
          </w:p>
        </w:tc>
        <w:tc>
          <w:tcPr>
            <w:tcW w:w="200" w:type="dxa"/>
            <w:vAlign w:val="bottom"/>
            <w:tcBorders>
              <w:top w:val="single" w:sz="8" w:color="E6EFFF"/>
            </w:tcBorders>
            <w:shd w:val="clear" w:color="auto" w:fill="E6EF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6EFFF"/>
            </w:tcBorders>
            <w:shd w:val="clear" w:color="auto" w:fill="E6EF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6EF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822</w:t>
            </w:r>
          </w:p>
        </w:tc>
        <w:tc>
          <w:tcPr>
            <w:tcW w:w="140" w:type="dxa"/>
            <w:vAlign w:val="bottom"/>
            <w:tcBorders>
              <w:top w:val="single" w:sz="8" w:color="E6EFFF"/>
            </w:tcBorders>
            <w:shd w:val="clear" w:color="auto" w:fill="E6EF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6EFFF"/>
            </w:tcBorders>
            <w:shd w:val="clear" w:color="auto" w:fill="E6EF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6EF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6EF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905</w:t>
            </w:r>
          </w:p>
        </w:tc>
        <w:tc>
          <w:tcPr>
            <w:tcW w:w="220" w:type="dxa"/>
            <w:vAlign w:val="bottom"/>
            <w:tcBorders>
              <w:top w:val="single" w:sz="8" w:color="E6EFFF"/>
            </w:tcBorders>
            <w:shd w:val="clear" w:color="auto" w:fill="E6EF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10"/>
        </w:trPr>
        <w:tc>
          <w:tcPr>
            <w:tcW w:w="5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16"/>
        </w:trPr>
        <w:tc>
          <w:tcPr>
            <w:tcW w:w="5600" w:type="dxa"/>
            <w:vAlign w:val="bottom"/>
            <w:shd w:val="clear" w:color="auto" w:fill="E6EF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Operating expenses:</w:t>
            </w:r>
          </w:p>
        </w:tc>
        <w:tc>
          <w:tcPr>
            <w:tcW w:w="120" w:type="dxa"/>
            <w:vAlign w:val="bottom"/>
            <w:shd w:val="clear" w:color="auto" w:fill="E6EF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6EF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E6EF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6EF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E6EF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E6EF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E6EF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E6EF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6EF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E6EF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6EF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E6EF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6EF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E6EF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E6EF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16"/>
        </w:trPr>
        <w:tc>
          <w:tcPr>
            <w:tcW w:w="5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Sales and marketing..................................................................................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407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232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711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536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16"/>
        </w:trPr>
        <w:tc>
          <w:tcPr>
            <w:tcW w:w="5600" w:type="dxa"/>
            <w:vAlign w:val="bottom"/>
            <w:shd w:val="clear" w:color="auto" w:fill="E6EFFF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Research and development.......................................................................</w:t>
            </w:r>
          </w:p>
        </w:tc>
        <w:tc>
          <w:tcPr>
            <w:tcW w:w="120" w:type="dxa"/>
            <w:vAlign w:val="bottom"/>
            <w:shd w:val="clear" w:color="auto" w:fill="E6EF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6EF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shd w:val="clear" w:color="auto" w:fill="E6EFFF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269</w:t>
            </w:r>
          </w:p>
        </w:tc>
        <w:tc>
          <w:tcPr>
            <w:tcW w:w="200" w:type="dxa"/>
            <w:vAlign w:val="bottom"/>
            <w:shd w:val="clear" w:color="auto" w:fill="E6EF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E6EF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shd w:val="clear" w:color="auto" w:fill="E6EFFF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344</w:t>
            </w:r>
          </w:p>
        </w:tc>
        <w:tc>
          <w:tcPr>
            <w:tcW w:w="120" w:type="dxa"/>
            <w:vAlign w:val="bottom"/>
            <w:shd w:val="clear" w:color="auto" w:fill="E6EF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shd w:val="clear" w:color="auto" w:fill="E6EFFF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506</w:t>
            </w:r>
          </w:p>
        </w:tc>
        <w:tc>
          <w:tcPr>
            <w:tcW w:w="200" w:type="dxa"/>
            <w:vAlign w:val="bottom"/>
            <w:shd w:val="clear" w:color="auto" w:fill="E6EF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6EF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shd w:val="clear" w:color="auto" w:fill="E6EFFF"/>
          </w:tcPr>
          <w:p>
            <w:pPr>
              <w:jc w:val="right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683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16"/>
        </w:trPr>
        <w:tc>
          <w:tcPr>
            <w:tcW w:w="5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General and administrative.......................................................................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3,257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1,832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4,422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2,816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10"/>
        </w:trPr>
        <w:tc>
          <w:tcPr>
            <w:tcW w:w="5600" w:type="dxa"/>
            <w:vAlign w:val="bottom"/>
            <w:tcBorders>
              <w:top w:val="single" w:sz="8" w:color="E6EFFF"/>
            </w:tcBorders>
            <w:shd w:val="clear" w:color="auto" w:fill="E6EF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6EF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6EF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6EF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3,933</w:t>
            </w:r>
          </w:p>
        </w:tc>
        <w:tc>
          <w:tcPr>
            <w:tcW w:w="100" w:type="dxa"/>
            <w:vAlign w:val="bottom"/>
            <w:tcBorders>
              <w:top w:val="single" w:sz="8" w:color="E6EFFF"/>
            </w:tcBorders>
            <w:shd w:val="clear" w:color="auto" w:fill="E6EF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6EFFF"/>
            </w:tcBorders>
            <w:shd w:val="clear" w:color="auto" w:fill="E6EF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6EF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6EF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2,408</w:t>
            </w:r>
          </w:p>
        </w:tc>
        <w:tc>
          <w:tcPr>
            <w:tcW w:w="200" w:type="dxa"/>
            <w:vAlign w:val="bottom"/>
            <w:tcBorders>
              <w:top w:val="single" w:sz="8" w:color="E6EFFF"/>
            </w:tcBorders>
            <w:shd w:val="clear" w:color="auto" w:fill="E6EF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6EFFF"/>
            </w:tcBorders>
            <w:shd w:val="clear" w:color="auto" w:fill="E6EF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6EF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5,639</w:t>
            </w:r>
          </w:p>
        </w:tc>
        <w:tc>
          <w:tcPr>
            <w:tcW w:w="140" w:type="dxa"/>
            <w:vAlign w:val="bottom"/>
            <w:tcBorders>
              <w:top w:val="single" w:sz="8" w:color="E6EFFF"/>
            </w:tcBorders>
            <w:shd w:val="clear" w:color="auto" w:fill="E6EF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6EFFF"/>
            </w:tcBorders>
            <w:shd w:val="clear" w:color="auto" w:fill="E6EF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6EF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6EF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4,035</w:t>
            </w:r>
          </w:p>
        </w:tc>
        <w:tc>
          <w:tcPr>
            <w:tcW w:w="220" w:type="dxa"/>
            <w:vAlign w:val="bottom"/>
            <w:tcBorders>
              <w:top w:val="single" w:sz="8" w:color="E6EFFF"/>
            </w:tcBorders>
            <w:shd w:val="clear" w:color="auto" w:fill="E6EF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09"/>
        </w:trPr>
        <w:tc>
          <w:tcPr>
            <w:tcW w:w="5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........................................................................................Lossfromoperations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(3,542)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(1,966)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(4,817)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(3,130)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16"/>
        </w:trPr>
        <w:tc>
          <w:tcPr>
            <w:tcW w:w="5600" w:type="dxa"/>
            <w:vAlign w:val="bottom"/>
            <w:shd w:val="clear" w:color="auto" w:fill="E6EFFF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Interest expense - related party..................................................................</w:t>
            </w:r>
          </w:p>
        </w:tc>
        <w:tc>
          <w:tcPr>
            <w:tcW w:w="120" w:type="dxa"/>
            <w:vAlign w:val="bottom"/>
            <w:shd w:val="clear" w:color="auto" w:fill="E6EF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6EF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shd w:val="clear" w:color="auto" w:fill="E6EFFF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-</w:t>
            </w:r>
          </w:p>
        </w:tc>
        <w:tc>
          <w:tcPr>
            <w:tcW w:w="200" w:type="dxa"/>
            <w:vAlign w:val="bottom"/>
            <w:shd w:val="clear" w:color="auto" w:fill="E6EF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E6EF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shd w:val="clear" w:color="auto" w:fill="E6EFFF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(118)</w:t>
            </w:r>
          </w:p>
        </w:tc>
        <w:tc>
          <w:tcPr>
            <w:tcW w:w="120" w:type="dxa"/>
            <w:vAlign w:val="bottom"/>
            <w:shd w:val="clear" w:color="auto" w:fill="E6EF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shd w:val="clear" w:color="auto" w:fill="E6EFFF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(496)</w:t>
            </w:r>
          </w:p>
        </w:tc>
        <w:tc>
          <w:tcPr>
            <w:tcW w:w="200" w:type="dxa"/>
            <w:vAlign w:val="bottom"/>
            <w:shd w:val="clear" w:color="auto" w:fill="E6EF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6EF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shd w:val="clear" w:color="auto" w:fill="E6EFFF"/>
          </w:tcPr>
          <w:p>
            <w:pPr>
              <w:jc w:val="right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(118)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16"/>
        </w:trPr>
        <w:tc>
          <w:tcPr>
            <w:tcW w:w="5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Interest expense.........................................................................................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(6)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(76)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(19)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(85)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16"/>
        </w:trPr>
        <w:tc>
          <w:tcPr>
            <w:tcW w:w="5600" w:type="dxa"/>
            <w:vAlign w:val="bottom"/>
            <w:shd w:val="clear" w:color="auto" w:fill="E6EFFF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Other income, net......................................................................................</w:t>
            </w:r>
          </w:p>
        </w:tc>
        <w:tc>
          <w:tcPr>
            <w:tcW w:w="120" w:type="dxa"/>
            <w:vAlign w:val="bottom"/>
            <w:shd w:val="clear" w:color="auto" w:fill="E6EF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6EF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shd w:val="clear" w:color="auto" w:fill="E6EFFF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667</w:t>
            </w:r>
          </w:p>
        </w:tc>
        <w:tc>
          <w:tcPr>
            <w:tcW w:w="200" w:type="dxa"/>
            <w:vAlign w:val="bottom"/>
            <w:shd w:val="clear" w:color="auto" w:fill="E6EF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E6EF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shd w:val="clear" w:color="auto" w:fill="E6EFFF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217</w:t>
            </w:r>
          </w:p>
        </w:tc>
        <w:tc>
          <w:tcPr>
            <w:tcW w:w="120" w:type="dxa"/>
            <w:vAlign w:val="bottom"/>
            <w:shd w:val="clear" w:color="auto" w:fill="E6EF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shd w:val="clear" w:color="auto" w:fill="E6EFFF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79</w:t>
            </w:r>
          </w:p>
        </w:tc>
        <w:tc>
          <w:tcPr>
            <w:tcW w:w="200" w:type="dxa"/>
            <w:vAlign w:val="bottom"/>
            <w:shd w:val="clear" w:color="auto" w:fill="E6EF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6EF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shd w:val="clear" w:color="auto" w:fill="E6EFFF"/>
          </w:tcPr>
          <w:p>
            <w:pPr>
              <w:jc w:val="right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09"/>
        </w:trPr>
        <w:tc>
          <w:tcPr>
            <w:tcW w:w="5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7"/>
              </w:rPr>
              <w:t>Loss before income taxes………………………………………………….....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(2,881)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(1,943)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(5,253)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(3,046)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16"/>
        </w:trPr>
        <w:tc>
          <w:tcPr>
            <w:tcW w:w="5600" w:type="dxa"/>
            <w:vAlign w:val="bottom"/>
            <w:shd w:val="clear" w:color="auto" w:fill="E6EF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Provision for income taxes…...........................................................................</w:t>
            </w:r>
          </w:p>
        </w:tc>
        <w:tc>
          <w:tcPr>
            <w:tcW w:w="120" w:type="dxa"/>
            <w:vAlign w:val="bottom"/>
            <w:shd w:val="clear" w:color="auto" w:fill="E6EF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6EF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shd w:val="clear" w:color="auto" w:fill="E6EFFF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-</w:t>
            </w:r>
          </w:p>
        </w:tc>
        <w:tc>
          <w:tcPr>
            <w:tcW w:w="200" w:type="dxa"/>
            <w:vAlign w:val="bottom"/>
            <w:shd w:val="clear" w:color="auto" w:fill="E6EF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E6EF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shd w:val="clear" w:color="auto" w:fill="E6EFFF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3</w:t>
            </w:r>
          </w:p>
        </w:tc>
        <w:tc>
          <w:tcPr>
            <w:tcW w:w="120" w:type="dxa"/>
            <w:vAlign w:val="bottom"/>
            <w:shd w:val="clear" w:color="auto" w:fill="E6EF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shd w:val="clear" w:color="auto" w:fill="E6EFFF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-</w:t>
            </w:r>
          </w:p>
        </w:tc>
        <w:tc>
          <w:tcPr>
            <w:tcW w:w="200" w:type="dxa"/>
            <w:vAlign w:val="bottom"/>
            <w:shd w:val="clear" w:color="auto" w:fill="E6EF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6EF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shd w:val="clear" w:color="auto" w:fill="E6EFFF"/>
          </w:tcPr>
          <w:p>
            <w:pPr>
              <w:jc w:val="right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10"/>
        </w:trPr>
        <w:tc>
          <w:tcPr>
            <w:tcW w:w="5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Net loss……………………………………………………….........................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(2,881)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(1,946)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(5,253)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(3,049)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16"/>
        </w:trPr>
        <w:tc>
          <w:tcPr>
            <w:tcW w:w="5600" w:type="dxa"/>
            <w:vAlign w:val="bottom"/>
            <w:shd w:val="clear" w:color="auto" w:fill="E6EF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6"/>
              </w:rPr>
              <w:t>Dividends on preferred shares………………………………….....................</w:t>
            </w:r>
          </w:p>
        </w:tc>
        <w:tc>
          <w:tcPr>
            <w:tcW w:w="120" w:type="dxa"/>
            <w:vAlign w:val="bottom"/>
            <w:shd w:val="clear" w:color="auto" w:fill="E6EF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6EF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shd w:val="clear" w:color="auto" w:fill="E6EFFF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169</w:t>
            </w:r>
          </w:p>
        </w:tc>
        <w:tc>
          <w:tcPr>
            <w:tcW w:w="200" w:type="dxa"/>
            <w:vAlign w:val="bottom"/>
            <w:shd w:val="clear" w:color="auto" w:fill="E6EF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E6EF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shd w:val="clear" w:color="auto" w:fill="E6EFFF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-</w:t>
            </w:r>
          </w:p>
        </w:tc>
        <w:tc>
          <w:tcPr>
            <w:tcW w:w="120" w:type="dxa"/>
            <w:vAlign w:val="bottom"/>
            <w:shd w:val="clear" w:color="auto" w:fill="E6EF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shd w:val="clear" w:color="auto" w:fill="E6EFFF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362</w:t>
            </w:r>
          </w:p>
        </w:tc>
        <w:tc>
          <w:tcPr>
            <w:tcW w:w="200" w:type="dxa"/>
            <w:vAlign w:val="bottom"/>
            <w:shd w:val="clear" w:color="auto" w:fill="E6EF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6EF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shd w:val="clear" w:color="auto" w:fill="E6EFFF"/>
          </w:tcPr>
          <w:p>
            <w:pPr>
              <w:jc w:val="right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49"/>
        </w:trPr>
        <w:tc>
          <w:tcPr>
            <w:tcW w:w="5600" w:type="dxa"/>
            <w:vAlign w:val="bottom"/>
            <w:tcBorders>
              <w:bottom w:val="single" w:sz="8" w:color="E6EFFF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Net loss available to common shareholders…………………………............</w:t>
            </w:r>
          </w:p>
        </w:tc>
        <w:tc>
          <w:tcPr>
            <w:tcW w:w="120" w:type="dxa"/>
            <w:vAlign w:val="bottom"/>
            <w:tcBorders>
              <w:bottom w:val="single" w:sz="8" w:color="E6EFFF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$</w:t>
            </w:r>
          </w:p>
        </w:tc>
        <w:tc>
          <w:tcPr>
            <w:tcW w:w="1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(3,050)</w:t>
            </w:r>
          </w:p>
        </w:tc>
        <w:tc>
          <w:tcPr>
            <w:tcW w:w="100" w:type="dxa"/>
            <w:vAlign w:val="bottom"/>
            <w:tcBorders>
              <w:bottom w:val="single" w:sz="8" w:color="E6EFFF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E6EFFF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(1,946)</w:t>
            </w:r>
          </w:p>
        </w:tc>
        <w:tc>
          <w:tcPr>
            <w:tcW w:w="200" w:type="dxa"/>
            <w:vAlign w:val="bottom"/>
            <w:tcBorders>
              <w:bottom w:val="single" w:sz="8" w:color="E6EFFF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E6EFFF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$</w:t>
            </w:r>
          </w:p>
        </w:tc>
        <w:tc>
          <w:tcPr>
            <w:tcW w:w="10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(5,615)</w:t>
            </w:r>
          </w:p>
        </w:tc>
        <w:tc>
          <w:tcPr>
            <w:tcW w:w="140" w:type="dxa"/>
            <w:vAlign w:val="bottom"/>
            <w:tcBorders>
              <w:bottom w:val="single" w:sz="8" w:color="E6EFFF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E6EFFF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(3,049</w:t>
            </w:r>
          </w:p>
        </w:tc>
        <w:tc>
          <w:tcPr>
            <w:tcW w:w="220" w:type="dxa"/>
            <w:vAlign w:val="bottom"/>
            <w:tcBorders>
              <w:bottom w:val="single" w:sz="8" w:color="E6EFFF"/>
            </w:tcBorders>
          </w:tcPr>
          <w:p>
            <w:pPr>
              <w:jc w:val="right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74"/>
              </w:rPr>
              <w:t>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97"/>
        </w:trPr>
        <w:tc>
          <w:tcPr>
            <w:tcW w:w="5600" w:type="dxa"/>
            <w:vAlign w:val="bottom"/>
            <w:shd w:val="clear" w:color="auto" w:fill="E6EFFF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6EFFF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6EFFF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E6EFFF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6EFFF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E6EFFF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E6EFFF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E6EFFF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E6EFFF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6EFFF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E6EFFF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6EFFF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E6EFFF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6EFFF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E6EFFF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E6EFFF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16"/>
        </w:trPr>
        <w:tc>
          <w:tcPr>
            <w:tcW w:w="5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Net loss per share: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36"/>
        </w:trPr>
        <w:tc>
          <w:tcPr>
            <w:tcW w:w="5600" w:type="dxa"/>
            <w:vAlign w:val="bottom"/>
            <w:shd w:val="clear" w:color="auto" w:fill="E6EFFF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7"/>
              </w:rPr>
              <w:t>Basic and diluted…………………………………………......................</w:t>
            </w:r>
          </w:p>
        </w:tc>
        <w:tc>
          <w:tcPr>
            <w:tcW w:w="260" w:type="dxa"/>
            <w:vAlign w:val="bottom"/>
            <w:gridSpan w:val="2"/>
            <w:shd w:val="clear" w:color="auto" w:fill="E6EFFF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$</w:t>
            </w:r>
          </w:p>
        </w:tc>
        <w:tc>
          <w:tcPr>
            <w:tcW w:w="1040" w:type="dxa"/>
            <w:vAlign w:val="bottom"/>
            <w:gridSpan w:val="2"/>
            <w:shd w:val="clear" w:color="auto" w:fill="E6EFFF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(0</w:t>
            </w: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.</w:t>
            </w: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19)</w:t>
            </w:r>
          </w:p>
        </w:tc>
        <w:tc>
          <w:tcPr>
            <w:tcW w:w="200" w:type="dxa"/>
            <w:vAlign w:val="bottom"/>
            <w:shd w:val="clear" w:color="auto" w:fill="E6EF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</w:p>
        </w:tc>
        <w:tc>
          <w:tcPr>
            <w:tcW w:w="340" w:type="dxa"/>
            <w:vAlign w:val="bottom"/>
            <w:shd w:val="clear" w:color="auto" w:fill="E6EF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shd w:val="clear" w:color="auto" w:fill="E6EFFF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(0.41)</w:t>
            </w:r>
          </w:p>
        </w:tc>
        <w:tc>
          <w:tcPr>
            <w:tcW w:w="120" w:type="dxa"/>
            <w:vAlign w:val="bottom"/>
            <w:shd w:val="clear" w:color="auto" w:fill="E6EF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79"/>
              </w:rPr>
              <w:t>$</w:t>
            </w:r>
          </w:p>
        </w:tc>
        <w:tc>
          <w:tcPr>
            <w:tcW w:w="1220" w:type="dxa"/>
            <w:vAlign w:val="bottom"/>
            <w:gridSpan w:val="2"/>
            <w:shd w:val="clear" w:color="auto" w:fill="E6EFFF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(0.44)</w:t>
            </w:r>
          </w:p>
        </w:tc>
        <w:tc>
          <w:tcPr>
            <w:tcW w:w="200" w:type="dxa"/>
            <w:vAlign w:val="bottom"/>
            <w:shd w:val="clear" w:color="auto" w:fill="E6EF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</w:p>
        </w:tc>
        <w:tc>
          <w:tcPr>
            <w:tcW w:w="320" w:type="dxa"/>
            <w:vAlign w:val="bottom"/>
            <w:shd w:val="clear" w:color="auto" w:fill="E6EF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shd w:val="clear" w:color="auto" w:fill="E6EFFF"/>
          </w:tcPr>
          <w:p>
            <w:pPr>
              <w:jc w:val="right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(0.70)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03"/>
        </w:trPr>
        <w:tc>
          <w:tcPr>
            <w:tcW w:w="5600" w:type="dxa"/>
            <w:vAlign w:val="bottom"/>
            <w:tcBorders>
              <w:top w:val="single" w:sz="8" w:color="E6EFFF"/>
            </w:tcBorders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Shares used in computing net loss per share:</w:t>
            </w:r>
          </w:p>
        </w:tc>
        <w:tc>
          <w:tcPr>
            <w:tcW w:w="120" w:type="dxa"/>
            <w:vAlign w:val="bottom"/>
            <w:tcBorders>
              <w:top w:val="single" w:sz="8" w:color="E6EFFF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6EFFF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6EFFF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6EFFF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6EFFF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6EFFF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6EFFF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6EFFF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16"/>
        </w:trPr>
        <w:tc>
          <w:tcPr>
            <w:tcW w:w="5600" w:type="dxa"/>
            <w:vAlign w:val="bottom"/>
            <w:shd w:val="clear" w:color="auto" w:fill="E6EFFF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Basic and diluted......................................................................................</w:t>
            </w:r>
          </w:p>
        </w:tc>
        <w:tc>
          <w:tcPr>
            <w:tcW w:w="120" w:type="dxa"/>
            <w:vAlign w:val="bottom"/>
            <w:shd w:val="clear" w:color="auto" w:fill="E6EF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6EF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shd w:val="clear" w:color="auto" w:fill="E6EFFF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15,990,564</w:t>
            </w:r>
          </w:p>
        </w:tc>
        <w:tc>
          <w:tcPr>
            <w:tcW w:w="200" w:type="dxa"/>
            <w:vAlign w:val="bottom"/>
            <w:shd w:val="clear" w:color="auto" w:fill="E6EF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E6EF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shd w:val="clear" w:color="auto" w:fill="E6EFFF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4,804,562</w:t>
            </w:r>
          </w:p>
        </w:tc>
        <w:tc>
          <w:tcPr>
            <w:tcW w:w="120" w:type="dxa"/>
            <w:vAlign w:val="bottom"/>
            <w:shd w:val="clear" w:color="auto" w:fill="E6EF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shd w:val="clear" w:color="auto" w:fill="E6EFFF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12,724,287</w:t>
            </w:r>
          </w:p>
        </w:tc>
        <w:tc>
          <w:tcPr>
            <w:tcW w:w="200" w:type="dxa"/>
            <w:vAlign w:val="bottom"/>
            <w:shd w:val="clear" w:color="auto" w:fill="E6EF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6EF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shd w:val="clear" w:color="auto" w:fill="E6EFFF"/>
          </w:tcPr>
          <w:p>
            <w:pPr>
              <w:jc w:val="right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4,376,108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0"/>
        </w:trPr>
        <w:tc>
          <w:tcPr>
            <w:tcW w:w="5600" w:type="dxa"/>
            <w:vAlign w:val="bottom"/>
            <w:tcBorders>
              <w:top w:val="single" w:sz="8" w:color="E6EFFF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6EFFF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6EFFF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6EFFF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6EFFF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6EFFF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6EFFF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5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74"/>
        </w:trPr>
        <w:tc>
          <w:tcPr>
            <w:tcW w:w="5600" w:type="dxa"/>
            <w:vAlign w:val="bottom"/>
            <w:shd w:val="clear" w:color="auto" w:fill="00000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0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00000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0000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00000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00000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00000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0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00000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00000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00000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00000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00000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280"/>
          </w:cols>
          <w:pgMar w:left="320" w:top="112" w:right="299" w:bottom="1440" w:gutter="0" w:footer="0" w:header="0"/>
        </w:sectPr>
      </w:pPr>
    </w:p>
    <w:bookmarkStart w:id="5" w:name="page6"/>
    <w:bookmarkEnd w:id="5"/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SPHERE 3D CORP.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CONDENSED CONSOLIDATED BALANCE SHEETS</w:t>
      </w: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i w:val="1"/>
          <w:iCs w:val="1"/>
          <w:color w:val="auto"/>
        </w:rPr>
        <w:t>(In thousands)</w:t>
      </w:r>
    </w:p>
    <w:p>
      <w:pPr>
        <w:spacing w:after="0" w:line="19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88"/>
              </w:rPr>
              <w:t>June 30,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December 31,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89"/>
              </w:rPr>
              <w:t>2021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2020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59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ASSETS</w:t>
            </w: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(Unaudited)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jc w:val="right"/>
              <w:ind w:right="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(Unaudited)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5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80" w:type="dxa"/>
            <w:vAlign w:val="bottom"/>
            <w:tcBorders>
              <w:top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5960" w:type="dxa"/>
            <w:vAlign w:val="bottom"/>
            <w:gridSpan w:val="3"/>
            <w:shd w:val="clear" w:color="auto" w:fill="E6EF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70"/>
              </w:rPr>
              <w:t>Cash and cash equivalents......................................................................................................................................</w:t>
            </w:r>
          </w:p>
        </w:tc>
        <w:tc>
          <w:tcPr>
            <w:tcW w:w="2260" w:type="dxa"/>
            <w:vAlign w:val="bottom"/>
            <w:gridSpan w:val="2"/>
            <w:shd w:val="clear" w:color="auto" w:fill="E6EFFF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</w:p>
        </w:tc>
        <w:tc>
          <w:tcPr>
            <w:tcW w:w="1360" w:type="dxa"/>
            <w:vAlign w:val="bottom"/>
            <w:gridSpan w:val="2"/>
            <w:shd w:val="clear" w:color="auto" w:fill="E6EFFF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4,584</w:t>
            </w:r>
          </w:p>
        </w:tc>
        <w:tc>
          <w:tcPr>
            <w:tcW w:w="320" w:type="dxa"/>
            <w:vAlign w:val="bottom"/>
            <w:gridSpan w:val="2"/>
            <w:shd w:val="clear" w:color="auto" w:fill="E6EFFF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</w:p>
        </w:tc>
        <w:tc>
          <w:tcPr>
            <w:tcW w:w="1340" w:type="dxa"/>
            <w:vAlign w:val="bottom"/>
            <w:shd w:val="clear" w:color="auto" w:fill="E6EF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461</w:t>
            </w: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8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Accounts receivable, net........................................................................................................................................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205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264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8100" w:type="dxa"/>
            <w:vAlign w:val="bottom"/>
            <w:gridSpan w:val="4"/>
            <w:shd w:val="clear" w:color="auto" w:fill="E6EF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Inventories.............................................................................................................................................................</w:t>
            </w:r>
          </w:p>
        </w:tc>
        <w:tc>
          <w:tcPr>
            <w:tcW w:w="120" w:type="dxa"/>
            <w:vAlign w:val="bottom"/>
            <w:shd w:val="clear" w:color="auto" w:fill="E6EF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shd w:val="clear" w:color="auto" w:fill="E6EFFF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501</w:t>
            </w:r>
          </w:p>
        </w:tc>
        <w:tc>
          <w:tcPr>
            <w:tcW w:w="260" w:type="dxa"/>
            <w:vAlign w:val="bottom"/>
            <w:shd w:val="clear" w:color="auto" w:fill="E6EF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6EF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E6EF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558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8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Other current assets...............................................................................................................................................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990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807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8100" w:type="dxa"/>
            <w:vAlign w:val="bottom"/>
            <w:tcBorders>
              <w:top w:val="single" w:sz="8" w:color="E6EFFF"/>
            </w:tcBorders>
            <w:gridSpan w:val="4"/>
            <w:shd w:val="clear" w:color="auto" w:fill="E6EFFF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............................................................................................................................................Totalcurrentassets</w:t>
            </w:r>
          </w:p>
        </w:tc>
        <w:tc>
          <w:tcPr>
            <w:tcW w:w="120" w:type="dxa"/>
            <w:vAlign w:val="bottom"/>
            <w:tcBorders>
              <w:top w:val="single" w:sz="8" w:color="auto"/>
            </w:tcBorders>
            <w:shd w:val="clear" w:color="auto" w:fill="E6EF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auto"/>
            </w:tcBorders>
            <w:shd w:val="clear" w:color="auto" w:fill="E6EF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6,280</w:t>
            </w:r>
          </w:p>
        </w:tc>
        <w:tc>
          <w:tcPr>
            <w:tcW w:w="140" w:type="dxa"/>
            <w:vAlign w:val="bottom"/>
            <w:tcBorders>
              <w:top w:val="single" w:sz="8" w:color="E6EFFF"/>
            </w:tcBorders>
            <w:shd w:val="clear" w:color="auto" w:fill="E6EF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6EFFF"/>
            </w:tcBorders>
            <w:shd w:val="clear" w:color="auto" w:fill="E6EF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shd w:val="clear" w:color="auto" w:fill="E6EF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</w:tcBorders>
            <w:shd w:val="clear" w:color="auto" w:fill="E6EF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2,090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8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Note receivable......................................................................................................................................................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3,354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3,207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8100" w:type="dxa"/>
            <w:vAlign w:val="bottom"/>
            <w:gridSpan w:val="4"/>
            <w:shd w:val="clear" w:color="auto" w:fill="E6EF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Investment.............................................................................................................................................................</w:t>
            </w:r>
          </w:p>
        </w:tc>
        <w:tc>
          <w:tcPr>
            <w:tcW w:w="120" w:type="dxa"/>
            <w:vAlign w:val="bottom"/>
            <w:shd w:val="clear" w:color="auto" w:fill="E6EF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shd w:val="clear" w:color="auto" w:fill="E6EFFF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2,100</w:t>
            </w:r>
          </w:p>
        </w:tc>
        <w:tc>
          <w:tcPr>
            <w:tcW w:w="260" w:type="dxa"/>
            <w:vAlign w:val="bottom"/>
            <w:shd w:val="clear" w:color="auto" w:fill="E6EF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6EF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E6EF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2,100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8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Intangible assets, net.............................................................................................................................................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2,310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2,608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8100" w:type="dxa"/>
            <w:vAlign w:val="bottom"/>
            <w:gridSpan w:val="4"/>
            <w:shd w:val="clear" w:color="auto" w:fill="E6EF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Goodwill...............................................................................................................................................................</w:t>
            </w:r>
          </w:p>
        </w:tc>
        <w:tc>
          <w:tcPr>
            <w:tcW w:w="120" w:type="dxa"/>
            <w:vAlign w:val="bottom"/>
            <w:shd w:val="clear" w:color="auto" w:fill="E6EF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shd w:val="clear" w:color="auto" w:fill="E6EFFF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1,385</w:t>
            </w:r>
          </w:p>
        </w:tc>
        <w:tc>
          <w:tcPr>
            <w:tcW w:w="260" w:type="dxa"/>
            <w:vAlign w:val="bottom"/>
            <w:shd w:val="clear" w:color="auto" w:fill="E6EF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6EF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E6EF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1,385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8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Other assets...........................................................................................................................................................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367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443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8100" w:type="dxa"/>
            <w:vAlign w:val="bottom"/>
            <w:tcBorders>
              <w:top w:val="single" w:sz="8" w:color="E6EFFF"/>
              <w:bottom w:val="single" w:sz="8" w:color="E6EFFF"/>
            </w:tcBorders>
            <w:gridSpan w:val="4"/>
            <w:shd w:val="clear" w:color="auto" w:fill="E6EFFF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.......................................................................................................................................................Totalassets</w:t>
            </w:r>
          </w:p>
        </w:tc>
        <w:tc>
          <w:tcPr>
            <w:tcW w:w="1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6EF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6EF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15,796</w:t>
            </w:r>
          </w:p>
        </w:tc>
        <w:tc>
          <w:tcPr>
            <w:tcW w:w="140" w:type="dxa"/>
            <w:vAlign w:val="bottom"/>
            <w:tcBorders>
              <w:top w:val="single" w:sz="8" w:color="E6EFFF"/>
              <w:bottom w:val="single" w:sz="8" w:color="E6EFFF"/>
            </w:tcBorders>
            <w:shd w:val="clear" w:color="auto" w:fill="E6EF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6EFFF"/>
              <w:bottom w:val="single" w:sz="8" w:color="E6EFFF"/>
            </w:tcBorders>
            <w:shd w:val="clear" w:color="auto" w:fill="E6EF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</w:p>
        </w:tc>
        <w:tc>
          <w:tcPr>
            <w:tcW w:w="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6EF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6EF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11,833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680" w:type="dxa"/>
            <w:vAlign w:val="bottom"/>
            <w:shd w:val="clear" w:color="auto" w:fill="E6EF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shd w:val="clear" w:color="auto" w:fill="E6EF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60" w:type="dxa"/>
            <w:vAlign w:val="bottom"/>
            <w:shd w:val="clear" w:color="auto" w:fill="E6EF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40" w:type="dxa"/>
            <w:vAlign w:val="bottom"/>
            <w:shd w:val="clear" w:color="auto" w:fill="E6EF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6EF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shd w:val="clear" w:color="auto" w:fill="E6EF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6EF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6EF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6EF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E6EF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5960" w:type="dxa"/>
            <w:vAlign w:val="bottom"/>
            <w:gridSpan w:val="3"/>
          </w:tcPr>
          <w:p>
            <w:pPr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LIABILITIES AND SHAREHOLDERS' EQUITY</w:t>
            </w: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80" w:type="dxa"/>
            <w:vAlign w:val="bottom"/>
            <w:tcBorders>
              <w:top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top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5960" w:type="dxa"/>
            <w:vAlign w:val="bottom"/>
            <w:gridSpan w:val="3"/>
            <w:shd w:val="clear" w:color="auto" w:fill="E6EF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72"/>
              </w:rPr>
              <w:t>Current liabilities...................................................................................................................................................</w:t>
            </w:r>
          </w:p>
        </w:tc>
        <w:tc>
          <w:tcPr>
            <w:tcW w:w="2260" w:type="dxa"/>
            <w:vAlign w:val="bottom"/>
            <w:gridSpan w:val="2"/>
            <w:shd w:val="clear" w:color="auto" w:fill="E6EFFF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</w:p>
        </w:tc>
        <w:tc>
          <w:tcPr>
            <w:tcW w:w="1360" w:type="dxa"/>
            <w:vAlign w:val="bottom"/>
            <w:gridSpan w:val="2"/>
            <w:shd w:val="clear" w:color="auto" w:fill="E6EFFF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3,274</w:t>
            </w:r>
          </w:p>
        </w:tc>
        <w:tc>
          <w:tcPr>
            <w:tcW w:w="320" w:type="dxa"/>
            <w:vAlign w:val="bottom"/>
            <w:gridSpan w:val="2"/>
            <w:shd w:val="clear" w:color="auto" w:fill="E6EFFF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</w:p>
        </w:tc>
        <w:tc>
          <w:tcPr>
            <w:tcW w:w="1340" w:type="dxa"/>
            <w:vAlign w:val="bottom"/>
            <w:shd w:val="clear" w:color="auto" w:fill="E6EF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5,805</w:t>
            </w: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8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Long-term debt......................................................................................................................................................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449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672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8100" w:type="dxa"/>
            <w:vAlign w:val="bottom"/>
            <w:gridSpan w:val="4"/>
            <w:shd w:val="clear" w:color="auto" w:fill="E6EF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Other long-term liabilities.....................................................................................................................................</w:t>
            </w:r>
          </w:p>
        </w:tc>
        <w:tc>
          <w:tcPr>
            <w:tcW w:w="120" w:type="dxa"/>
            <w:vAlign w:val="bottom"/>
            <w:shd w:val="clear" w:color="auto" w:fill="E6EF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shd w:val="clear" w:color="auto" w:fill="E6EFFF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161</w:t>
            </w:r>
          </w:p>
        </w:tc>
        <w:tc>
          <w:tcPr>
            <w:tcW w:w="260" w:type="dxa"/>
            <w:vAlign w:val="bottom"/>
            <w:shd w:val="clear" w:color="auto" w:fill="E6EF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6EF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E6EF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347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8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Total shareholders' equity......................................................................................................................................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11,912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5,009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8100" w:type="dxa"/>
            <w:vAlign w:val="bottom"/>
            <w:tcBorders>
              <w:top w:val="single" w:sz="8" w:color="E6EFFF"/>
              <w:bottom w:val="single" w:sz="8" w:color="E6EFFF"/>
            </w:tcBorders>
            <w:gridSpan w:val="4"/>
            <w:shd w:val="clear" w:color="auto" w:fill="E6EFFF"/>
          </w:tcPr>
          <w:p>
            <w:pPr>
              <w:jc w:val="right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...........................................................................................................Totalliabilitiesandshareholders'equity</w:t>
            </w:r>
          </w:p>
        </w:tc>
        <w:tc>
          <w:tcPr>
            <w:tcW w:w="1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6EF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6EF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15,796</w:t>
            </w:r>
          </w:p>
        </w:tc>
        <w:tc>
          <w:tcPr>
            <w:tcW w:w="140" w:type="dxa"/>
            <w:vAlign w:val="bottom"/>
            <w:tcBorders>
              <w:top w:val="single" w:sz="8" w:color="E6EFFF"/>
              <w:bottom w:val="single" w:sz="8" w:color="E6EFFF"/>
            </w:tcBorders>
            <w:shd w:val="clear" w:color="auto" w:fill="E6EF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6EFFF"/>
              <w:bottom w:val="single" w:sz="8" w:color="E6EFFF"/>
            </w:tcBorders>
            <w:shd w:val="clear" w:color="auto" w:fill="E6EF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</w:p>
        </w:tc>
        <w:tc>
          <w:tcPr>
            <w:tcW w:w="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6EF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6EF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11,833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680" w:type="dxa"/>
            <w:vAlign w:val="bottom"/>
            <w:shd w:val="clear" w:color="auto" w:fill="00000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20" w:type="dxa"/>
            <w:vAlign w:val="bottom"/>
            <w:shd w:val="clear" w:color="auto" w:fill="00000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shd w:val="clear" w:color="auto" w:fill="00000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40" w:type="dxa"/>
            <w:vAlign w:val="bottom"/>
            <w:shd w:val="clear" w:color="auto" w:fill="00000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0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shd w:val="clear" w:color="auto" w:fill="00000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00000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00000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00000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00000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1280"/>
      </w:cols>
      <w:pgMar w:left="320" w:top="111" w:right="2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•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•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jpeg"/><Relationship Id="rId13" Type="http://schemas.openxmlformats.org/officeDocument/2006/relationships/image" Target="media/image6.png"/><Relationship Id="rId14" Type="http://schemas.openxmlformats.org/officeDocument/2006/relationships/image" Target="media/image7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2021-08-16T16:29:42Z</dcterms:created>
  <dcterms:modified xsi:type="dcterms:W3CDTF">2021-08-16T16:29:42Z</dcterms:modified>
</cp:coreProperties>
</file>